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3" w:type="dxa"/>
        <w:jc w:val="center"/>
        <w:tblLayout w:type="fixed"/>
        <w:tblLook w:val="04A0" w:firstRow="1" w:lastRow="0" w:firstColumn="1" w:lastColumn="0" w:noHBand="0" w:noVBand="1"/>
      </w:tblPr>
      <w:tblGrid>
        <w:gridCol w:w="2397"/>
        <w:gridCol w:w="6241"/>
        <w:gridCol w:w="1565"/>
      </w:tblGrid>
      <w:tr w:rsidR="00CD317E" w:rsidRPr="00CD317E" w:rsidTr="0038283A">
        <w:trPr>
          <w:trHeight w:val="1140"/>
          <w:jc w:val="center"/>
        </w:trPr>
        <w:tc>
          <w:tcPr>
            <w:tcW w:w="2397" w:type="dxa"/>
            <w:shd w:val="clear" w:color="auto" w:fill="auto"/>
          </w:tcPr>
          <w:p w:rsidR="00CD317E" w:rsidRPr="00CD317E" w:rsidRDefault="00CD317E" w:rsidP="00CD317E">
            <w:pPr>
              <w:jc w:val="center"/>
              <w:rPr>
                <w:sz w:val="16"/>
                <w:szCs w:val="16"/>
              </w:rPr>
            </w:pPr>
            <w:bookmarkStart w:id="0" w:name="_GoBack"/>
            <w:bookmarkEnd w:id="0"/>
            <w:r w:rsidRPr="00CD317E">
              <w:rPr>
                <w:noProof/>
              </w:rPr>
              <w:drawing>
                <wp:inline distT="0" distB="0" distL="0" distR="0" wp14:anchorId="4B8E70EE" wp14:editId="328F2D1C">
                  <wp:extent cx="1112520" cy="643722"/>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2520" cy="643722"/>
                          </a:xfrm>
                          <a:prstGeom prst="rect">
                            <a:avLst/>
                          </a:prstGeom>
                          <a:noFill/>
                          <a:ln>
                            <a:noFill/>
                          </a:ln>
                        </pic:spPr>
                      </pic:pic>
                    </a:graphicData>
                  </a:graphic>
                </wp:inline>
              </w:drawing>
            </w:r>
          </w:p>
        </w:tc>
        <w:tc>
          <w:tcPr>
            <w:tcW w:w="6241" w:type="dxa"/>
            <w:shd w:val="clear" w:color="auto" w:fill="auto"/>
          </w:tcPr>
          <w:p w:rsidR="00CD317E" w:rsidRPr="00CD317E" w:rsidRDefault="00CD317E" w:rsidP="00CD317E">
            <w:pPr>
              <w:ind w:left="20" w:hanging="20"/>
              <w:rPr>
                <w:sz w:val="16"/>
                <w:szCs w:val="16"/>
              </w:rPr>
            </w:pPr>
          </w:p>
        </w:tc>
        <w:tc>
          <w:tcPr>
            <w:tcW w:w="1565" w:type="dxa"/>
          </w:tcPr>
          <w:p w:rsidR="00CD317E" w:rsidRPr="00CD317E" w:rsidRDefault="00CD317E" w:rsidP="00CD317E">
            <w:pPr>
              <w:tabs>
                <w:tab w:val="center" w:pos="4819"/>
                <w:tab w:val="right" w:pos="9638"/>
              </w:tabs>
              <w:jc w:val="center"/>
              <w:rPr>
                <w:sz w:val="16"/>
                <w:szCs w:val="16"/>
                <w:lang w:eastAsia="x-none"/>
              </w:rPr>
            </w:pPr>
            <w:r w:rsidRPr="00CD317E">
              <w:rPr>
                <w:sz w:val="16"/>
                <w:szCs w:val="16"/>
                <w:lang w:val="x-none" w:eastAsia="x-none"/>
              </w:rPr>
              <w:t xml:space="preserve">Class.  </w:t>
            </w:r>
            <w:r>
              <w:rPr>
                <w:sz w:val="16"/>
                <w:szCs w:val="16"/>
                <w:lang w:eastAsia="x-none"/>
              </w:rPr>
              <w:t>1</w:t>
            </w:r>
            <w:r>
              <w:rPr>
                <w:sz w:val="16"/>
                <w:szCs w:val="16"/>
                <w:lang w:val="x-none" w:eastAsia="x-none"/>
              </w:rPr>
              <w:t>.</w:t>
            </w:r>
            <w:r>
              <w:rPr>
                <w:sz w:val="16"/>
                <w:szCs w:val="16"/>
                <w:lang w:eastAsia="x-none"/>
              </w:rPr>
              <w:t>3</w:t>
            </w:r>
            <w:r>
              <w:rPr>
                <w:sz w:val="16"/>
                <w:szCs w:val="16"/>
                <w:lang w:val="x-none" w:eastAsia="x-none"/>
              </w:rPr>
              <w:t>.</w:t>
            </w:r>
            <w:r>
              <w:rPr>
                <w:sz w:val="16"/>
                <w:szCs w:val="16"/>
                <w:lang w:eastAsia="x-none"/>
              </w:rPr>
              <w:t>03</w:t>
            </w:r>
          </w:p>
        </w:tc>
      </w:tr>
    </w:tbl>
    <w:p w:rsidR="00CD317E" w:rsidRPr="00CD317E" w:rsidRDefault="00CD317E" w:rsidP="00CD317E">
      <w:pPr>
        <w:jc w:val="both"/>
        <w:rPr>
          <w:sz w:val="18"/>
          <w:szCs w:val="18"/>
        </w:rPr>
      </w:pPr>
    </w:p>
    <w:p w:rsidR="00E14071" w:rsidRPr="00E14071" w:rsidRDefault="00E14071" w:rsidP="00E14071">
      <w:pPr>
        <w:spacing w:line="360" w:lineRule="auto"/>
        <w:jc w:val="both"/>
        <w:rPr>
          <w:b/>
          <w:sz w:val="22"/>
          <w:szCs w:val="22"/>
        </w:rPr>
      </w:pPr>
      <w:r w:rsidRPr="00E14071">
        <w:rPr>
          <w:b/>
          <w:sz w:val="22"/>
          <w:szCs w:val="22"/>
        </w:rPr>
        <w:t>Art. 1 – Normativa di riferimento r</w:t>
      </w:r>
      <w:r w:rsidR="00CD317E">
        <w:rPr>
          <w:b/>
          <w:sz w:val="22"/>
          <w:szCs w:val="22"/>
        </w:rPr>
        <w:t>elativa ai codici bianchi di PS</w:t>
      </w:r>
    </w:p>
    <w:p w:rsidR="00E14071" w:rsidRPr="00E14071" w:rsidRDefault="00E14071" w:rsidP="00E14071">
      <w:pPr>
        <w:spacing w:line="360" w:lineRule="auto"/>
        <w:jc w:val="both"/>
        <w:rPr>
          <w:sz w:val="22"/>
          <w:szCs w:val="22"/>
        </w:rPr>
      </w:pPr>
      <w:r w:rsidRPr="00E14071">
        <w:rPr>
          <w:sz w:val="22"/>
          <w:szCs w:val="22"/>
        </w:rPr>
        <w:t>La normativa nazionale e regionale vigente in materia (V. art. 1 comma 796 lett</w:t>
      </w:r>
      <w:r w:rsidR="00CD317E">
        <w:rPr>
          <w:sz w:val="22"/>
          <w:szCs w:val="22"/>
        </w:rPr>
        <w:t>.</w:t>
      </w:r>
      <w:r w:rsidRPr="00E14071">
        <w:rPr>
          <w:sz w:val="22"/>
          <w:szCs w:val="22"/>
        </w:rPr>
        <w:t xml:space="preserve"> p) della Legge 27/12/2006 n. 296 e per Regione Lombardia la DGR  09/05/2012 N. 9/3379 e s.m.i.) prevede che tutte le prestazioni erogate in regime di pronto soccorso ospedaliero, non seguite da ricovero, la cui condizione è stata codificata in fase di dimissione come CODICE BIANCO, sono soggette al versamento di una quota fissa pari a 25 euro, a titolo di compartecipazione alla spesa sanitaria prestata. </w:t>
      </w:r>
    </w:p>
    <w:p w:rsidR="00E14071" w:rsidRPr="00E14071" w:rsidRDefault="00E14071" w:rsidP="00E14071">
      <w:pPr>
        <w:spacing w:line="360" w:lineRule="auto"/>
        <w:jc w:val="both"/>
        <w:rPr>
          <w:sz w:val="22"/>
          <w:szCs w:val="22"/>
        </w:rPr>
      </w:pPr>
      <w:r w:rsidRPr="00E14071">
        <w:rPr>
          <w:sz w:val="22"/>
          <w:szCs w:val="22"/>
        </w:rPr>
        <w:t xml:space="preserve">Sono esenti dal pagamento di tale importo i minori di anni 14, i maggiori di anni 65 e coloro che possiedono un’esenzione dal ticket sanitario. </w:t>
      </w:r>
    </w:p>
    <w:p w:rsidR="00E14071" w:rsidRPr="00E14071" w:rsidRDefault="00E14071" w:rsidP="00E14071">
      <w:pPr>
        <w:spacing w:line="360" w:lineRule="auto"/>
        <w:jc w:val="both"/>
        <w:rPr>
          <w:sz w:val="22"/>
          <w:szCs w:val="22"/>
        </w:rPr>
      </w:pPr>
      <w:r w:rsidRPr="00E14071">
        <w:rPr>
          <w:sz w:val="22"/>
          <w:szCs w:val="22"/>
        </w:rPr>
        <w:t>Il personale di Pronto Soccorso ha l’obbligo di verificare le generalità degli utenti che accedono al reparto, chiedendo ogni documento utile ed idoneo al fine di identificare il soggetto e il possesso di eventuali requisiti che danno diritto all’esenzione dal pagamento del ticket. L’accertamento dell’identità degli utenti deve avvenire solo a seguito di esibizione di idonei do</w:t>
      </w:r>
      <w:r w:rsidR="00CD317E">
        <w:rPr>
          <w:sz w:val="22"/>
          <w:szCs w:val="22"/>
        </w:rPr>
        <w:t>cumenti di riconoscimento (es. c</w:t>
      </w:r>
      <w:r w:rsidRPr="00E14071">
        <w:rPr>
          <w:sz w:val="22"/>
          <w:szCs w:val="22"/>
        </w:rPr>
        <w:t>arta d’identità, passaporto). L’identità non può essere autocertificata.</w:t>
      </w:r>
    </w:p>
    <w:p w:rsidR="00E14071" w:rsidRPr="00E14071" w:rsidRDefault="00E14071" w:rsidP="00E14071">
      <w:pPr>
        <w:spacing w:line="360" w:lineRule="auto"/>
        <w:jc w:val="both"/>
        <w:rPr>
          <w:sz w:val="22"/>
          <w:szCs w:val="22"/>
        </w:rPr>
      </w:pPr>
      <w:r w:rsidRPr="00E14071">
        <w:rPr>
          <w:sz w:val="22"/>
          <w:szCs w:val="22"/>
        </w:rPr>
        <w:t xml:space="preserve">Tale fase di raccolta dei dati è di fondamentale importanza ai fini di una puntuale rendicontazione degli accessi ed al fine di procedere al recupero di eventuali ticket non </w:t>
      </w:r>
      <w:r w:rsidR="00CD317E">
        <w:rPr>
          <w:sz w:val="22"/>
          <w:szCs w:val="22"/>
        </w:rPr>
        <w:t>pagati. La Direzione Medica di P</w:t>
      </w:r>
      <w:r w:rsidRPr="00E14071">
        <w:rPr>
          <w:sz w:val="22"/>
          <w:szCs w:val="22"/>
        </w:rPr>
        <w:t xml:space="preserve">residio competente, in linea con le indicazioni della </w:t>
      </w:r>
      <w:r w:rsidR="00CD317E" w:rsidRPr="00E14071">
        <w:rPr>
          <w:sz w:val="22"/>
          <w:szCs w:val="22"/>
        </w:rPr>
        <w:t>Direzione Sanitaria Aziendale</w:t>
      </w:r>
      <w:r w:rsidRPr="00E14071">
        <w:rPr>
          <w:sz w:val="22"/>
          <w:szCs w:val="22"/>
        </w:rPr>
        <w:t>, è responsabile della corretta raccolta, gestione e rendicontazione dei dati, nonché della corretta e trasparente informativa agli utenti in merito ai doveri di pagamento, alle eventuali esenzioni e alle modalità di pagamento dello stesso.</w:t>
      </w:r>
    </w:p>
    <w:p w:rsidR="00E14071" w:rsidRPr="00E14071" w:rsidRDefault="00E14071" w:rsidP="00E14071">
      <w:pPr>
        <w:spacing w:line="360" w:lineRule="auto"/>
        <w:jc w:val="both"/>
        <w:rPr>
          <w:sz w:val="22"/>
          <w:szCs w:val="22"/>
        </w:rPr>
      </w:pPr>
      <w:r w:rsidRPr="00E14071">
        <w:rPr>
          <w:sz w:val="22"/>
          <w:szCs w:val="22"/>
        </w:rPr>
        <w:t>In particolare, il personale del Pronto Soccorso informa sempre l’utente, mediante consegna di apposito modulo scritto, dell’obbligo di pagamento da assolvere secondo una delle seguenti modalità:</w:t>
      </w:r>
    </w:p>
    <w:p w:rsidR="00E14071" w:rsidRPr="00E14071" w:rsidRDefault="00E14071" w:rsidP="00E14071">
      <w:pPr>
        <w:numPr>
          <w:ilvl w:val="0"/>
          <w:numId w:val="36"/>
        </w:numPr>
        <w:spacing w:line="360" w:lineRule="auto"/>
        <w:jc w:val="both"/>
        <w:rPr>
          <w:sz w:val="22"/>
          <w:szCs w:val="22"/>
        </w:rPr>
      </w:pPr>
      <w:r w:rsidRPr="00E14071">
        <w:rPr>
          <w:sz w:val="22"/>
          <w:szCs w:val="22"/>
        </w:rPr>
        <w:t>mediante util</w:t>
      </w:r>
      <w:r w:rsidR="00CD317E">
        <w:rPr>
          <w:sz w:val="22"/>
          <w:szCs w:val="22"/>
        </w:rPr>
        <w:t>izzo di riscuotitori automatici;</w:t>
      </w:r>
    </w:p>
    <w:p w:rsidR="00E14071" w:rsidRPr="00E14071" w:rsidRDefault="00E14071" w:rsidP="00E14071">
      <w:pPr>
        <w:numPr>
          <w:ilvl w:val="0"/>
          <w:numId w:val="36"/>
        </w:numPr>
        <w:spacing w:line="360" w:lineRule="auto"/>
        <w:jc w:val="both"/>
        <w:rPr>
          <w:sz w:val="22"/>
          <w:szCs w:val="22"/>
        </w:rPr>
      </w:pPr>
      <w:r w:rsidRPr="00E14071">
        <w:rPr>
          <w:sz w:val="22"/>
          <w:szCs w:val="22"/>
        </w:rPr>
        <w:t>mediante accesso al Front Office dei Presidi Ospedalieri (Centri Unici di Prenotazione).</w:t>
      </w:r>
    </w:p>
    <w:p w:rsidR="00E14071" w:rsidRPr="00E14071" w:rsidRDefault="00E14071" w:rsidP="00E14071">
      <w:pPr>
        <w:spacing w:line="360" w:lineRule="auto"/>
        <w:jc w:val="both"/>
        <w:rPr>
          <w:sz w:val="22"/>
          <w:szCs w:val="22"/>
        </w:rPr>
      </w:pPr>
      <w:r w:rsidRPr="00E14071">
        <w:rPr>
          <w:sz w:val="22"/>
          <w:szCs w:val="22"/>
        </w:rPr>
        <w:t xml:space="preserve">Come previsto dalle disposizioni regionali e aziendali in materia (DGR IX/3379 del 09/05/2012 e da ultimo </w:t>
      </w:r>
      <w:r w:rsidR="00CD317E">
        <w:rPr>
          <w:sz w:val="22"/>
          <w:szCs w:val="22"/>
        </w:rPr>
        <w:t>la nota dell’ASST Valle Olona (</w:t>
      </w:r>
      <w:r w:rsidRPr="00E14071">
        <w:rPr>
          <w:sz w:val="22"/>
          <w:szCs w:val="22"/>
        </w:rPr>
        <w:t xml:space="preserve">prot. 15603 del 28/03/2017) il rilascio della documentazione sanitaria (verbale di </w:t>
      </w:r>
      <w:r w:rsidR="00CD317E" w:rsidRPr="00E14071">
        <w:rPr>
          <w:sz w:val="22"/>
          <w:szCs w:val="22"/>
        </w:rPr>
        <w:t>Pronto Soccorso</w:t>
      </w:r>
      <w:r w:rsidRPr="00E14071">
        <w:rPr>
          <w:sz w:val="22"/>
          <w:szCs w:val="22"/>
        </w:rPr>
        <w:t>) avviene solo dopo il pagamento del ticket se ed in quanto dovuto.</w:t>
      </w:r>
    </w:p>
    <w:p w:rsidR="00E14071" w:rsidRPr="00E14071" w:rsidRDefault="00E14071" w:rsidP="00E14071">
      <w:pPr>
        <w:spacing w:line="360" w:lineRule="auto"/>
        <w:jc w:val="both"/>
        <w:rPr>
          <w:sz w:val="22"/>
          <w:szCs w:val="22"/>
        </w:rPr>
      </w:pPr>
      <w:r w:rsidRPr="00E14071">
        <w:rPr>
          <w:sz w:val="22"/>
          <w:szCs w:val="22"/>
        </w:rPr>
        <w:t>La documentazione cartacea sanitaria (verbali di Pronto Soccorso) viene sempre custodita nell’esclusiva disponibilità e responsabilità del Pronto Soccorso nonché dell’Ufficio Archivio Cartelle Cliniche nell’ambito dell’area di responsabilità delle Direz</w:t>
      </w:r>
      <w:r w:rsidR="00CD317E">
        <w:rPr>
          <w:sz w:val="22"/>
          <w:szCs w:val="22"/>
        </w:rPr>
        <w:t>ioni Mediche di Presidio.</w:t>
      </w:r>
    </w:p>
    <w:p w:rsidR="00E14071" w:rsidRPr="00CD317E" w:rsidRDefault="00E14071" w:rsidP="00CD317E">
      <w:pPr>
        <w:jc w:val="both"/>
        <w:rPr>
          <w:sz w:val="18"/>
          <w:szCs w:val="18"/>
        </w:rPr>
      </w:pPr>
    </w:p>
    <w:p w:rsidR="00E14071" w:rsidRPr="00E14071" w:rsidRDefault="00E14071" w:rsidP="00E14071">
      <w:pPr>
        <w:spacing w:line="360" w:lineRule="auto"/>
        <w:jc w:val="both"/>
        <w:rPr>
          <w:b/>
          <w:sz w:val="22"/>
          <w:szCs w:val="22"/>
        </w:rPr>
      </w:pPr>
      <w:r w:rsidRPr="00E14071">
        <w:rPr>
          <w:b/>
          <w:sz w:val="22"/>
          <w:szCs w:val="22"/>
        </w:rPr>
        <w:t xml:space="preserve">Art. 2 – Estrazione dei dati e verifica dei pagamenti relativi ai codici bianchi di PS </w:t>
      </w:r>
    </w:p>
    <w:p w:rsidR="00E14071" w:rsidRPr="00E14071" w:rsidRDefault="00CD317E" w:rsidP="00E14071">
      <w:pPr>
        <w:spacing w:line="360" w:lineRule="auto"/>
        <w:jc w:val="both"/>
        <w:rPr>
          <w:sz w:val="22"/>
          <w:szCs w:val="22"/>
        </w:rPr>
      </w:pPr>
      <w:r>
        <w:rPr>
          <w:sz w:val="22"/>
          <w:szCs w:val="22"/>
        </w:rPr>
        <w:t>La Funzione Flussi della SC</w:t>
      </w:r>
      <w:r w:rsidR="00E14071" w:rsidRPr="00E14071">
        <w:rPr>
          <w:sz w:val="22"/>
          <w:szCs w:val="22"/>
        </w:rPr>
        <w:t xml:space="preserve"> Verifica Controllo e Appropriatezza Attività Sanitaria effettua entro il giorno 5 di ogni mese l’estrazione dei dati relativi ai codici bianchi alla d</w:t>
      </w:r>
      <w:r>
        <w:rPr>
          <w:sz w:val="22"/>
          <w:szCs w:val="22"/>
        </w:rPr>
        <w:t>imissione che non siano esenti.</w:t>
      </w:r>
    </w:p>
    <w:p w:rsidR="00E14071" w:rsidRPr="00E14071" w:rsidRDefault="00E14071" w:rsidP="00E14071">
      <w:pPr>
        <w:spacing w:line="360" w:lineRule="auto"/>
        <w:jc w:val="both"/>
        <w:rPr>
          <w:sz w:val="22"/>
          <w:szCs w:val="22"/>
        </w:rPr>
      </w:pPr>
      <w:r w:rsidRPr="00E14071">
        <w:rPr>
          <w:sz w:val="22"/>
          <w:szCs w:val="22"/>
        </w:rPr>
        <w:t xml:space="preserve">I dati così </w:t>
      </w:r>
      <w:r w:rsidR="00CD317E">
        <w:rPr>
          <w:sz w:val="22"/>
          <w:szCs w:val="22"/>
        </w:rPr>
        <w:t>estratti vengono inviati alla SC</w:t>
      </w:r>
      <w:r w:rsidRPr="00E14071">
        <w:rPr>
          <w:sz w:val="22"/>
          <w:szCs w:val="22"/>
        </w:rPr>
        <w:t xml:space="preserve"> Risorse Economico Finanziarie che, entro 15 </w:t>
      </w:r>
      <w:r w:rsidR="00CD317E">
        <w:rPr>
          <w:sz w:val="22"/>
          <w:szCs w:val="22"/>
        </w:rPr>
        <w:t>giorni dal ricevimento del file dalla F</w:t>
      </w:r>
      <w:r w:rsidRPr="00E14071">
        <w:rPr>
          <w:sz w:val="22"/>
          <w:szCs w:val="22"/>
        </w:rPr>
        <w:t>unzione Flussi, aggiorna il file escludendo coloro che hanno già pagato e lo invia alla SC Accettazione Amministrativa Specialistica Ambulatoriale Ospedaliera che si occupa di verificare eventuali posizioni esenti non rilevate nei flussi di PS, entro 15 giorni dal ricevimento del file dalla SC risorse Economico Finanziarie</w:t>
      </w:r>
      <w:r w:rsidR="00CD317E">
        <w:rPr>
          <w:sz w:val="22"/>
          <w:szCs w:val="22"/>
        </w:rPr>
        <w:t>.</w:t>
      </w:r>
    </w:p>
    <w:p w:rsidR="00E14071" w:rsidRPr="00E14071" w:rsidRDefault="00E14071" w:rsidP="00E14071">
      <w:pPr>
        <w:spacing w:line="360" w:lineRule="auto"/>
        <w:jc w:val="both"/>
        <w:rPr>
          <w:sz w:val="22"/>
          <w:szCs w:val="22"/>
        </w:rPr>
      </w:pPr>
      <w:r w:rsidRPr="00E14071">
        <w:rPr>
          <w:sz w:val="22"/>
          <w:szCs w:val="22"/>
        </w:rPr>
        <w:lastRenderedPageBreak/>
        <w:t>Il file sopra indicato è l’unico riferimento valido ed ufficiale a livello aziendale idoneo ad identificare le posizioni debitorie degli utenti.</w:t>
      </w:r>
    </w:p>
    <w:p w:rsidR="00E14071" w:rsidRPr="00CD317E" w:rsidRDefault="00E14071" w:rsidP="00CD317E">
      <w:pPr>
        <w:jc w:val="both"/>
        <w:rPr>
          <w:sz w:val="18"/>
          <w:szCs w:val="18"/>
        </w:rPr>
      </w:pPr>
    </w:p>
    <w:p w:rsidR="00E14071" w:rsidRPr="00E14071" w:rsidRDefault="00E14071" w:rsidP="00E14071">
      <w:pPr>
        <w:spacing w:line="360" w:lineRule="auto"/>
        <w:jc w:val="both"/>
        <w:rPr>
          <w:b/>
          <w:sz w:val="22"/>
          <w:szCs w:val="22"/>
        </w:rPr>
      </w:pPr>
      <w:r w:rsidRPr="00E14071">
        <w:rPr>
          <w:b/>
          <w:sz w:val="22"/>
          <w:szCs w:val="22"/>
        </w:rPr>
        <w:t>Art. 3 – Estrazione</w:t>
      </w:r>
      <w:r w:rsidRPr="00E14071">
        <w:rPr>
          <w:sz w:val="22"/>
          <w:szCs w:val="22"/>
        </w:rPr>
        <w:t xml:space="preserve"> </w:t>
      </w:r>
      <w:r w:rsidRPr="00E14071">
        <w:rPr>
          <w:b/>
          <w:sz w:val="22"/>
          <w:szCs w:val="22"/>
        </w:rPr>
        <w:t>dei dati e verifica dei pagamenti relativi a crediti diversi</w:t>
      </w:r>
    </w:p>
    <w:p w:rsidR="00E14071" w:rsidRPr="00E14071" w:rsidRDefault="00E14071" w:rsidP="00E14071">
      <w:pPr>
        <w:spacing w:line="360" w:lineRule="auto"/>
        <w:jc w:val="both"/>
        <w:rPr>
          <w:sz w:val="22"/>
          <w:szCs w:val="22"/>
        </w:rPr>
      </w:pPr>
      <w:r w:rsidRPr="00E14071">
        <w:rPr>
          <w:sz w:val="22"/>
          <w:szCs w:val="22"/>
        </w:rPr>
        <w:t xml:space="preserve">I Sistemi </w:t>
      </w:r>
      <w:r w:rsidR="00CD317E">
        <w:rPr>
          <w:sz w:val="22"/>
          <w:szCs w:val="22"/>
        </w:rPr>
        <w:t>Informativi A</w:t>
      </w:r>
      <w:r w:rsidRPr="00E14071">
        <w:rPr>
          <w:sz w:val="22"/>
          <w:szCs w:val="22"/>
        </w:rPr>
        <w:t>ziendali ogni trimestre ( 31/03-30/06-30/09-31/12) effettuano l’estrazione dei dati relativi a:</w:t>
      </w:r>
    </w:p>
    <w:p w:rsidR="00E14071" w:rsidRPr="00E14071" w:rsidRDefault="00E14071" w:rsidP="00E14071">
      <w:pPr>
        <w:numPr>
          <w:ilvl w:val="0"/>
          <w:numId w:val="38"/>
        </w:numPr>
        <w:spacing w:line="360" w:lineRule="auto"/>
        <w:jc w:val="both"/>
        <w:rPr>
          <w:sz w:val="22"/>
          <w:szCs w:val="22"/>
        </w:rPr>
      </w:pPr>
      <w:r w:rsidRPr="00E14071">
        <w:rPr>
          <w:sz w:val="22"/>
          <w:szCs w:val="22"/>
        </w:rPr>
        <w:t>referti non ritirati</w:t>
      </w:r>
      <w:r w:rsidR="00CD317E">
        <w:rPr>
          <w:sz w:val="22"/>
          <w:szCs w:val="22"/>
        </w:rPr>
        <w:t>;</w:t>
      </w:r>
    </w:p>
    <w:p w:rsidR="00E14071" w:rsidRPr="00E14071" w:rsidRDefault="00E14071" w:rsidP="00E14071">
      <w:pPr>
        <w:numPr>
          <w:ilvl w:val="0"/>
          <w:numId w:val="38"/>
        </w:numPr>
        <w:spacing w:line="360" w:lineRule="auto"/>
        <w:jc w:val="both"/>
        <w:rPr>
          <w:sz w:val="22"/>
          <w:szCs w:val="22"/>
        </w:rPr>
      </w:pPr>
      <w:r w:rsidRPr="00E14071">
        <w:rPr>
          <w:sz w:val="22"/>
          <w:szCs w:val="22"/>
        </w:rPr>
        <w:t>mancate disdette</w:t>
      </w:r>
      <w:r w:rsidR="00CD317E">
        <w:rPr>
          <w:sz w:val="22"/>
          <w:szCs w:val="22"/>
        </w:rPr>
        <w:t>;</w:t>
      </w:r>
    </w:p>
    <w:p w:rsidR="00E14071" w:rsidRPr="00E14071" w:rsidRDefault="00E14071" w:rsidP="00E14071">
      <w:pPr>
        <w:numPr>
          <w:ilvl w:val="0"/>
          <w:numId w:val="38"/>
        </w:numPr>
        <w:spacing w:line="360" w:lineRule="auto"/>
        <w:jc w:val="both"/>
        <w:rPr>
          <w:sz w:val="22"/>
          <w:szCs w:val="22"/>
        </w:rPr>
      </w:pPr>
      <w:r w:rsidRPr="00E14071">
        <w:rPr>
          <w:sz w:val="22"/>
          <w:szCs w:val="22"/>
        </w:rPr>
        <w:t>prestazioni ambulatoriali non pagate</w:t>
      </w:r>
      <w:r w:rsidR="00CD317E">
        <w:rPr>
          <w:sz w:val="22"/>
          <w:szCs w:val="22"/>
        </w:rPr>
        <w:t>.</w:t>
      </w:r>
    </w:p>
    <w:p w:rsidR="00E14071" w:rsidRPr="00CD317E" w:rsidRDefault="00E14071" w:rsidP="00E14071">
      <w:pPr>
        <w:spacing w:line="360" w:lineRule="auto"/>
        <w:jc w:val="both"/>
        <w:rPr>
          <w:sz w:val="22"/>
          <w:szCs w:val="22"/>
        </w:rPr>
      </w:pPr>
      <w:r w:rsidRPr="00E14071">
        <w:rPr>
          <w:sz w:val="22"/>
          <w:szCs w:val="22"/>
        </w:rPr>
        <w:t xml:space="preserve">I dati così </w:t>
      </w:r>
      <w:r w:rsidR="00CD317E">
        <w:rPr>
          <w:sz w:val="22"/>
          <w:szCs w:val="22"/>
        </w:rPr>
        <w:t>estratti vengono inviati alla SC</w:t>
      </w:r>
      <w:r w:rsidRPr="00E14071">
        <w:rPr>
          <w:sz w:val="22"/>
          <w:szCs w:val="22"/>
        </w:rPr>
        <w:t xml:space="preserve"> Risorse Economico Finanziarie che, entro 30 giorni dal ricevimento del file dai Sistemi Informativi, aggiorna il file escludendo coloro che hanno già pagato e lo invia alla SC Accettazione Amministrativa Specialistica Ambulatoriale Ospedaliera che si occupa di verificare la correttezza dei dati entro 15 giorni dal ricevimento del file dalla SC risorse Economico Finanziarie</w:t>
      </w:r>
      <w:r w:rsidRPr="00CD317E">
        <w:rPr>
          <w:sz w:val="22"/>
          <w:szCs w:val="22"/>
        </w:rPr>
        <w:t xml:space="preserve">. </w:t>
      </w:r>
    </w:p>
    <w:p w:rsidR="00E14071" w:rsidRPr="00E14071" w:rsidRDefault="00E14071" w:rsidP="00E14071">
      <w:pPr>
        <w:spacing w:line="360" w:lineRule="auto"/>
        <w:jc w:val="both"/>
        <w:rPr>
          <w:sz w:val="22"/>
          <w:szCs w:val="22"/>
        </w:rPr>
      </w:pPr>
      <w:r w:rsidRPr="00E14071">
        <w:rPr>
          <w:sz w:val="22"/>
          <w:szCs w:val="22"/>
        </w:rPr>
        <w:t>Il file sopra indicato è l’unico riferimento valido ed ufficiale a livello aziendale idoneo ad identificare le posizioni debitorie degli utenti.</w:t>
      </w:r>
    </w:p>
    <w:p w:rsidR="00E14071" w:rsidRPr="00CD317E" w:rsidRDefault="00E14071" w:rsidP="00CD317E">
      <w:pPr>
        <w:jc w:val="both"/>
        <w:rPr>
          <w:sz w:val="18"/>
          <w:szCs w:val="18"/>
        </w:rPr>
      </w:pPr>
    </w:p>
    <w:p w:rsidR="00E14071" w:rsidRPr="00E14071" w:rsidRDefault="00E14071" w:rsidP="00E14071">
      <w:pPr>
        <w:spacing w:line="360" w:lineRule="auto"/>
        <w:jc w:val="both"/>
        <w:rPr>
          <w:b/>
          <w:sz w:val="22"/>
          <w:szCs w:val="22"/>
        </w:rPr>
      </w:pPr>
      <w:r w:rsidRPr="00E14071">
        <w:rPr>
          <w:b/>
          <w:sz w:val="22"/>
          <w:szCs w:val="22"/>
        </w:rPr>
        <w:t xml:space="preserve">Art. 4 – Fatturazione </w:t>
      </w:r>
    </w:p>
    <w:p w:rsidR="00E14071" w:rsidRPr="00E14071" w:rsidRDefault="00E14071" w:rsidP="00E14071">
      <w:pPr>
        <w:spacing w:line="360" w:lineRule="auto"/>
        <w:jc w:val="both"/>
        <w:rPr>
          <w:sz w:val="22"/>
          <w:szCs w:val="22"/>
        </w:rPr>
      </w:pPr>
      <w:r w:rsidRPr="00E14071">
        <w:rPr>
          <w:sz w:val="22"/>
          <w:szCs w:val="22"/>
        </w:rPr>
        <w:t xml:space="preserve">Sulla scorta delle risultanze debitorie identificate ai sensi dei </w:t>
      </w:r>
      <w:r w:rsidR="00CD317E">
        <w:rPr>
          <w:sz w:val="22"/>
          <w:szCs w:val="22"/>
        </w:rPr>
        <w:t>precedenti articoli 2 e 3, la SC</w:t>
      </w:r>
      <w:r w:rsidRPr="00E14071">
        <w:rPr>
          <w:sz w:val="22"/>
          <w:szCs w:val="22"/>
        </w:rPr>
        <w:t xml:space="preserve"> Risorse Economico-Finanziarie provvede ad emettere fattura distinta, nominativa e numerata progressivamente per ciascuna posizione debitoria riscontrata nel file, e si occupa dell’invio della stessa all’utente tramite posta ordinaria.</w:t>
      </w:r>
    </w:p>
    <w:p w:rsidR="00E14071" w:rsidRPr="00CD317E" w:rsidRDefault="00E14071" w:rsidP="00CD317E">
      <w:pPr>
        <w:jc w:val="both"/>
        <w:rPr>
          <w:sz w:val="18"/>
          <w:szCs w:val="18"/>
        </w:rPr>
      </w:pPr>
    </w:p>
    <w:p w:rsidR="00E14071" w:rsidRPr="00E14071" w:rsidRDefault="00E14071" w:rsidP="00E14071">
      <w:pPr>
        <w:spacing w:line="360" w:lineRule="auto"/>
        <w:jc w:val="both"/>
        <w:rPr>
          <w:b/>
          <w:sz w:val="22"/>
          <w:szCs w:val="22"/>
        </w:rPr>
      </w:pPr>
      <w:r w:rsidRPr="00E14071">
        <w:rPr>
          <w:b/>
          <w:sz w:val="22"/>
          <w:szCs w:val="22"/>
        </w:rPr>
        <w:t>Art.5 – Monitoraggio dei pagamenti</w:t>
      </w:r>
    </w:p>
    <w:p w:rsidR="00E14071" w:rsidRPr="00E14071" w:rsidRDefault="00CD317E" w:rsidP="00E14071">
      <w:pPr>
        <w:spacing w:line="360" w:lineRule="auto"/>
        <w:jc w:val="both"/>
        <w:rPr>
          <w:sz w:val="22"/>
          <w:szCs w:val="22"/>
        </w:rPr>
      </w:pPr>
      <w:r>
        <w:rPr>
          <w:sz w:val="22"/>
          <w:szCs w:val="22"/>
        </w:rPr>
        <w:t>Ogni quattro mesi la S</w:t>
      </w:r>
      <w:r w:rsidR="00E14071" w:rsidRPr="00E14071">
        <w:rPr>
          <w:sz w:val="22"/>
          <w:szCs w:val="22"/>
        </w:rPr>
        <w:t xml:space="preserve">C Risorse Economico-Finanziarie invia alla SC Affari Legali e delle Assicurazioni un file contenente l’elenco dei soggetti ai quali è stata inviata la fattura ma che non hanno saldato la propria posizione debitoria entro 30 giorni dal ricevimento della fattura, nonché le relative fatture cartacee emesse </w:t>
      </w:r>
      <w:r>
        <w:rPr>
          <w:sz w:val="22"/>
          <w:szCs w:val="22"/>
        </w:rPr>
        <w:t>ai sensi del precedente art. 5.</w:t>
      </w:r>
    </w:p>
    <w:p w:rsidR="00E14071" w:rsidRPr="00E14071" w:rsidRDefault="00CD317E" w:rsidP="00E14071">
      <w:pPr>
        <w:spacing w:line="360" w:lineRule="auto"/>
        <w:jc w:val="both"/>
        <w:rPr>
          <w:sz w:val="22"/>
          <w:szCs w:val="22"/>
        </w:rPr>
      </w:pPr>
      <w:r>
        <w:rPr>
          <w:sz w:val="22"/>
          <w:szCs w:val="22"/>
        </w:rPr>
        <w:t>La SC</w:t>
      </w:r>
      <w:r w:rsidR="00E14071" w:rsidRPr="00E14071">
        <w:rPr>
          <w:sz w:val="22"/>
          <w:szCs w:val="22"/>
        </w:rPr>
        <w:t xml:space="preserve"> Affari Legali e delle Assicurazioni, quindi, provvede entro 60 giorni ad inserire i soggetti debitori nel sistema GIA (Gestione Integrata Avvisi) di Agenzia delle Entrate Riscossione per dare avvio ad un tentativo di riscossione spontanea tramite avviso bonario.</w:t>
      </w:r>
    </w:p>
    <w:p w:rsidR="00E14071" w:rsidRPr="00E14071" w:rsidRDefault="00E14071" w:rsidP="00E14071">
      <w:pPr>
        <w:spacing w:line="360" w:lineRule="auto"/>
        <w:jc w:val="both"/>
        <w:rPr>
          <w:sz w:val="22"/>
          <w:szCs w:val="22"/>
        </w:rPr>
      </w:pPr>
      <w:r w:rsidRPr="00E14071">
        <w:rPr>
          <w:sz w:val="22"/>
          <w:szCs w:val="22"/>
        </w:rPr>
        <w:t xml:space="preserve">Le modalità di utilizzo del GIA e le relative scadenze sono riportate nell’articolo 5, comma 5.3, del Regolamento Recupero Crediti attualmente vigente. </w:t>
      </w:r>
    </w:p>
    <w:p w:rsidR="00E14071" w:rsidRPr="00CD317E" w:rsidRDefault="00E14071" w:rsidP="00CD317E">
      <w:pPr>
        <w:jc w:val="both"/>
        <w:rPr>
          <w:sz w:val="18"/>
          <w:szCs w:val="18"/>
          <w:highlight w:val="yellow"/>
        </w:rPr>
      </w:pPr>
    </w:p>
    <w:p w:rsidR="00E14071" w:rsidRPr="00E14071" w:rsidRDefault="00E14071" w:rsidP="00E14071">
      <w:pPr>
        <w:spacing w:line="360" w:lineRule="auto"/>
        <w:rPr>
          <w:b/>
          <w:sz w:val="22"/>
          <w:szCs w:val="22"/>
        </w:rPr>
      </w:pPr>
      <w:r w:rsidRPr="00E14071">
        <w:rPr>
          <w:b/>
          <w:sz w:val="22"/>
          <w:szCs w:val="22"/>
        </w:rPr>
        <w:t>Art. 6 - Individuazione del recapito corretto del debitore</w:t>
      </w:r>
    </w:p>
    <w:p w:rsidR="00E14071" w:rsidRPr="00E14071" w:rsidRDefault="00E14071" w:rsidP="00E14071">
      <w:pPr>
        <w:spacing w:line="360" w:lineRule="auto"/>
        <w:rPr>
          <w:sz w:val="22"/>
          <w:szCs w:val="22"/>
        </w:rPr>
      </w:pPr>
      <w:r w:rsidRPr="00E14071">
        <w:rPr>
          <w:sz w:val="22"/>
          <w:szCs w:val="22"/>
        </w:rPr>
        <w:t>La SC Risorse Economico Finanziarie invia la fattura agli utenti all’ultimo indirizzo conosciuto.</w:t>
      </w:r>
    </w:p>
    <w:p w:rsidR="00E14071" w:rsidRPr="00E14071" w:rsidRDefault="00E14071" w:rsidP="00CD317E">
      <w:pPr>
        <w:spacing w:line="360" w:lineRule="auto"/>
        <w:jc w:val="both"/>
        <w:rPr>
          <w:sz w:val="22"/>
          <w:szCs w:val="22"/>
        </w:rPr>
      </w:pPr>
      <w:r w:rsidRPr="00E14071">
        <w:rPr>
          <w:sz w:val="22"/>
          <w:szCs w:val="22"/>
        </w:rPr>
        <w:t>Qualora la lettera dovesse essere restituita all’Azienda con le seguenti indicazioni: trasferito, partito, indirizzo inesatto o insufficiente, la SC Risorse Economico Finanziarie trasmette un file contenente i nominativi dei soggetti che non sono stati raggiunti alla SC Affari Legali e delle Assicurazioni – Ufficio Recupero Crediti – che provvede ad effettuare le relative ricerche ed a produrre – se possibile – gli indirizzi corretti per effettuare un secondo tentativo di invio da parte della SC</w:t>
      </w:r>
      <w:r w:rsidR="00CD317E">
        <w:rPr>
          <w:sz w:val="22"/>
          <w:szCs w:val="22"/>
        </w:rPr>
        <w:t xml:space="preserve"> Risorse Economico Finanziarie.</w:t>
      </w:r>
    </w:p>
    <w:p w:rsidR="00E14071" w:rsidRPr="00E14071" w:rsidRDefault="00E14071" w:rsidP="00E14071">
      <w:pPr>
        <w:spacing w:line="360" w:lineRule="auto"/>
        <w:jc w:val="both"/>
        <w:rPr>
          <w:strike/>
          <w:sz w:val="22"/>
          <w:szCs w:val="22"/>
        </w:rPr>
      </w:pPr>
      <w:r w:rsidRPr="00E14071">
        <w:rPr>
          <w:sz w:val="22"/>
          <w:szCs w:val="22"/>
        </w:rPr>
        <w:t>Si precisa che, nella fase relativa all’inserimento dei s</w:t>
      </w:r>
      <w:r w:rsidR="00CD317E">
        <w:rPr>
          <w:sz w:val="22"/>
          <w:szCs w:val="22"/>
        </w:rPr>
        <w:t>oggetti nel S</w:t>
      </w:r>
      <w:r w:rsidRPr="00E14071">
        <w:rPr>
          <w:sz w:val="22"/>
          <w:szCs w:val="22"/>
        </w:rPr>
        <w:t xml:space="preserve">istema GIA da parte della SC Affari Legali e delle Assicurazioni, quest’ultima indica nel sistema l’ultimo indirizzo conosciuto del debitore. Sarà onere di Agenzia delle </w:t>
      </w:r>
      <w:r w:rsidRPr="00E14071">
        <w:rPr>
          <w:sz w:val="22"/>
          <w:szCs w:val="22"/>
        </w:rPr>
        <w:lastRenderedPageBreak/>
        <w:t>Entrate Riscossione, qualora il sollecito di pagamento inviato non raggiunga il recapito del debitore, provvedere alla ricerca di un nuovo</w:t>
      </w:r>
      <w:r w:rsidR="00CD317E">
        <w:rPr>
          <w:sz w:val="22"/>
          <w:szCs w:val="22"/>
        </w:rPr>
        <w:t xml:space="preserve"> indirizzo corretto ed attuale.</w:t>
      </w:r>
    </w:p>
    <w:p w:rsidR="00E14071" w:rsidRPr="00CD317E" w:rsidRDefault="00E14071" w:rsidP="00CD317E">
      <w:pPr>
        <w:jc w:val="both"/>
        <w:rPr>
          <w:sz w:val="18"/>
          <w:szCs w:val="18"/>
        </w:rPr>
      </w:pPr>
    </w:p>
    <w:p w:rsidR="00E14071" w:rsidRPr="00E14071" w:rsidRDefault="00E14071" w:rsidP="00E14071">
      <w:pPr>
        <w:spacing w:line="360" w:lineRule="auto"/>
        <w:jc w:val="both"/>
        <w:rPr>
          <w:b/>
          <w:sz w:val="22"/>
          <w:szCs w:val="22"/>
        </w:rPr>
      </w:pPr>
      <w:r w:rsidRPr="00E14071">
        <w:rPr>
          <w:b/>
          <w:sz w:val="22"/>
          <w:szCs w:val="22"/>
        </w:rPr>
        <w:t>Art. 7 – Indicatori</w:t>
      </w:r>
    </w:p>
    <w:p w:rsidR="00E14071" w:rsidRPr="00E14071" w:rsidRDefault="00E14071" w:rsidP="00E14071">
      <w:pPr>
        <w:spacing w:line="360" w:lineRule="auto"/>
        <w:jc w:val="both"/>
        <w:rPr>
          <w:sz w:val="22"/>
          <w:szCs w:val="22"/>
        </w:rPr>
      </w:pPr>
      <w:r w:rsidRPr="00E14071">
        <w:rPr>
          <w:sz w:val="22"/>
          <w:szCs w:val="22"/>
        </w:rPr>
        <w:t>A seguito de</w:t>
      </w:r>
      <w:r w:rsidR="00CD317E">
        <w:rPr>
          <w:sz w:val="22"/>
          <w:szCs w:val="22"/>
        </w:rPr>
        <w:t>ll’emissione delle fatture la SC</w:t>
      </w:r>
      <w:r w:rsidRPr="00E14071">
        <w:rPr>
          <w:sz w:val="22"/>
          <w:szCs w:val="22"/>
        </w:rPr>
        <w:t xml:space="preserve"> Economico Finanziaria deve monitorare il numero di fatture riemesse per errato recapito e il numero di fatture stornate con nota di credito a vario titolo (esenzione non riportata nei flussi, prestazione non eseguita o classificata in altro livello di gravità, ecc.) al fine di verificare la qualità dei dati trasmessi per la fatturazione. Il numero di fatture riemesse/stornate deve essere inferiore al 5% del numero comples</w:t>
      </w:r>
      <w:r w:rsidR="00CD317E">
        <w:rPr>
          <w:sz w:val="22"/>
          <w:szCs w:val="22"/>
        </w:rPr>
        <w:t>sivo delle fatture emesse. La SC</w:t>
      </w:r>
      <w:r w:rsidRPr="00E14071">
        <w:rPr>
          <w:sz w:val="22"/>
          <w:szCs w:val="22"/>
        </w:rPr>
        <w:t xml:space="preserve"> Risorse Economico Finanziaria deve comunicare l’indicatore &gt; del 5% alle strutture Flussi e Accettazione per gli interventi di competenza.</w:t>
      </w:r>
    </w:p>
    <w:p w:rsidR="00E14071" w:rsidRPr="00CD317E" w:rsidRDefault="00E14071" w:rsidP="00CD317E">
      <w:pPr>
        <w:jc w:val="both"/>
        <w:rPr>
          <w:sz w:val="18"/>
          <w:szCs w:val="18"/>
        </w:rPr>
      </w:pPr>
    </w:p>
    <w:p w:rsidR="00E14071" w:rsidRPr="00E14071" w:rsidRDefault="00E14071" w:rsidP="00E14071">
      <w:pPr>
        <w:spacing w:line="360" w:lineRule="auto"/>
        <w:jc w:val="both"/>
        <w:rPr>
          <w:b/>
          <w:sz w:val="22"/>
          <w:szCs w:val="22"/>
        </w:rPr>
      </w:pPr>
      <w:r w:rsidRPr="00E14071">
        <w:rPr>
          <w:b/>
          <w:sz w:val="22"/>
          <w:szCs w:val="22"/>
        </w:rPr>
        <w:t>Art. 8 – Gestione delle eventuali controdeduzioni e chiarimenti</w:t>
      </w:r>
    </w:p>
    <w:p w:rsidR="00E14071" w:rsidRPr="00E14071" w:rsidRDefault="00E14071" w:rsidP="00E14071">
      <w:pPr>
        <w:spacing w:line="360" w:lineRule="auto"/>
        <w:jc w:val="both"/>
        <w:rPr>
          <w:sz w:val="22"/>
          <w:szCs w:val="22"/>
        </w:rPr>
      </w:pPr>
      <w:r w:rsidRPr="00E14071">
        <w:rPr>
          <w:sz w:val="22"/>
          <w:szCs w:val="22"/>
        </w:rPr>
        <w:t xml:space="preserve">A seguito dell’invio della fattura da parte della SC Risorse Economico Finanziarie, l’utente ha facoltà, entro 30 giorni dal ricevimento della stessa, di formulare controdeduzioni e/o richiedere chiarimenti; a tal fine è individuata la competenza dell’URP – i cui contatti sono sinteticamente riportati nel corpo della fattura </w:t>
      </w:r>
      <w:r w:rsidR="00CD317E" w:rsidRPr="00E14071">
        <w:rPr>
          <w:sz w:val="22"/>
          <w:szCs w:val="22"/>
        </w:rPr>
        <w:t xml:space="preserve">– </w:t>
      </w:r>
      <w:r w:rsidRPr="00E14071">
        <w:rPr>
          <w:sz w:val="22"/>
          <w:szCs w:val="22"/>
        </w:rPr>
        <w:t xml:space="preserve">quale interlocutore unico nei confronti dell’utenza e quale tramite con le competenze aziendali interessate. </w:t>
      </w:r>
    </w:p>
    <w:p w:rsidR="00E14071" w:rsidRPr="00E14071" w:rsidRDefault="00E14071" w:rsidP="00E14071">
      <w:pPr>
        <w:spacing w:line="360" w:lineRule="auto"/>
        <w:jc w:val="both"/>
        <w:rPr>
          <w:sz w:val="22"/>
          <w:szCs w:val="22"/>
        </w:rPr>
      </w:pPr>
      <w:r w:rsidRPr="00E14071">
        <w:rPr>
          <w:sz w:val="22"/>
          <w:szCs w:val="22"/>
        </w:rPr>
        <w:t>L’URP provvede ad istruire la pratica relativa alla singola richiesta, raccogliendo la documentazione dall’utente coinvolgendo le seguenti strutture in relazione alla tipologia di controdeduzione effettuata dall’utente:</w:t>
      </w:r>
    </w:p>
    <w:p w:rsidR="00E14071" w:rsidRPr="00E14071" w:rsidRDefault="00E14071" w:rsidP="00E14071">
      <w:pPr>
        <w:numPr>
          <w:ilvl w:val="0"/>
          <w:numId w:val="37"/>
        </w:numPr>
        <w:spacing w:line="360" w:lineRule="auto"/>
        <w:jc w:val="both"/>
        <w:rPr>
          <w:sz w:val="22"/>
          <w:szCs w:val="22"/>
        </w:rPr>
      </w:pPr>
      <w:r w:rsidRPr="00E14071">
        <w:rPr>
          <w:sz w:val="22"/>
          <w:szCs w:val="22"/>
          <w:u w:val="single"/>
        </w:rPr>
        <w:t>se le controdeduzioni sono attinenti all’ambito amministrativo</w:t>
      </w:r>
      <w:r w:rsidRPr="00CD317E">
        <w:rPr>
          <w:sz w:val="22"/>
          <w:szCs w:val="22"/>
          <w:u w:val="single"/>
        </w:rPr>
        <w:t xml:space="preserve"> e</w:t>
      </w:r>
      <w:r w:rsidRPr="00E14071">
        <w:rPr>
          <w:sz w:val="22"/>
          <w:szCs w:val="22"/>
          <w:u w:val="single"/>
        </w:rPr>
        <w:t xml:space="preserve"> l’utente ha ricevuto la sola fattura</w:t>
      </w:r>
      <w:r w:rsidRPr="00E14071">
        <w:rPr>
          <w:sz w:val="22"/>
          <w:szCs w:val="22"/>
        </w:rPr>
        <w:t xml:space="preserve"> e fornisce prova di avere cause di esenzione o dell’avvenuto pagamento, </w:t>
      </w:r>
      <w:r w:rsidR="00CD317E">
        <w:rPr>
          <w:sz w:val="22"/>
          <w:szCs w:val="22"/>
        </w:rPr>
        <w:t>la pratica viene inviata alla SC</w:t>
      </w:r>
      <w:r w:rsidRPr="00E14071">
        <w:rPr>
          <w:sz w:val="22"/>
          <w:szCs w:val="22"/>
        </w:rPr>
        <w:t xml:space="preserve"> Accettazione Amm.va Specialistica Ambulatoriale Ospedaliera, che provvede a dare idoneo riscontro all’utente ed alla SC Risorse Economico Finanziarie che provvede a stornare la fattura e ad aggiornare il file;</w:t>
      </w:r>
    </w:p>
    <w:p w:rsidR="00E14071" w:rsidRPr="00E14071" w:rsidRDefault="00E14071" w:rsidP="00E14071">
      <w:pPr>
        <w:numPr>
          <w:ilvl w:val="0"/>
          <w:numId w:val="37"/>
        </w:numPr>
        <w:spacing w:line="360" w:lineRule="auto"/>
        <w:jc w:val="both"/>
        <w:rPr>
          <w:sz w:val="22"/>
          <w:szCs w:val="22"/>
        </w:rPr>
      </w:pPr>
      <w:r w:rsidRPr="00E14071">
        <w:rPr>
          <w:sz w:val="22"/>
          <w:szCs w:val="22"/>
          <w:u w:val="single"/>
        </w:rPr>
        <w:t>se le controdeduzioni sono attinenti all’ambito sanitario</w:t>
      </w:r>
      <w:r w:rsidRPr="00E14071">
        <w:rPr>
          <w:sz w:val="22"/>
          <w:szCs w:val="22"/>
        </w:rPr>
        <w:t xml:space="preserve"> (per es. contestazione dell’attribuzione del codice colore bianco alla dimissione), la pratica viene istruita dall’URP ed inviata alle Direzioni Mediche di Presidio competenti che provvedono a dare idoneo riscontro all’utente;</w:t>
      </w:r>
    </w:p>
    <w:p w:rsidR="00E14071" w:rsidRPr="00E14071" w:rsidRDefault="00E14071" w:rsidP="00E14071">
      <w:pPr>
        <w:numPr>
          <w:ilvl w:val="0"/>
          <w:numId w:val="37"/>
        </w:numPr>
        <w:spacing w:line="360" w:lineRule="auto"/>
        <w:jc w:val="both"/>
        <w:rPr>
          <w:sz w:val="22"/>
          <w:szCs w:val="22"/>
        </w:rPr>
      </w:pPr>
      <w:r w:rsidRPr="00E14071">
        <w:rPr>
          <w:sz w:val="22"/>
          <w:szCs w:val="22"/>
          <w:u w:val="single"/>
        </w:rPr>
        <w:t>se l’utente esente chiede il rimborso del codice bianco erroneamente pagato e fornisce prova dell’erroneo pagamento</w:t>
      </w:r>
      <w:r w:rsidRPr="00CD317E">
        <w:rPr>
          <w:sz w:val="22"/>
          <w:szCs w:val="22"/>
        </w:rPr>
        <w:t xml:space="preserve">, </w:t>
      </w:r>
      <w:r w:rsidRPr="00E14071">
        <w:rPr>
          <w:sz w:val="22"/>
          <w:szCs w:val="22"/>
        </w:rPr>
        <w:t>la pratica viene inviata alla SC Risorse Economico-Finanziarie che provvede al rimborso all’utente.</w:t>
      </w:r>
    </w:p>
    <w:p w:rsidR="00E14071" w:rsidRPr="00E14071" w:rsidRDefault="00E14071" w:rsidP="00E14071">
      <w:pPr>
        <w:spacing w:line="360" w:lineRule="auto"/>
        <w:jc w:val="both"/>
        <w:rPr>
          <w:sz w:val="22"/>
          <w:szCs w:val="22"/>
        </w:rPr>
      </w:pPr>
      <w:r w:rsidRPr="00E14071">
        <w:rPr>
          <w:sz w:val="22"/>
          <w:szCs w:val="22"/>
        </w:rPr>
        <w:t>Resta inteso che qualora sorgano dubbi di natura legale diversi dai casi sopra specificati, l’UR</w:t>
      </w:r>
      <w:r w:rsidR="00CD317E">
        <w:rPr>
          <w:sz w:val="22"/>
          <w:szCs w:val="22"/>
        </w:rPr>
        <w:t>P può inviare la pratica alla SC</w:t>
      </w:r>
      <w:r w:rsidRPr="00E14071">
        <w:rPr>
          <w:sz w:val="22"/>
          <w:szCs w:val="22"/>
        </w:rPr>
        <w:t xml:space="preserve"> Affari Legali e delle Assicurazioni per idoneo parere legale. Quest’ultima provvede direttamente a inviare il riscontro all’utente.</w:t>
      </w:r>
    </w:p>
    <w:p w:rsidR="00E14071" w:rsidRPr="00E14071" w:rsidRDefault="00E14071" w:rsidP="00E14071">
      <w:pPr>
        <w:spacing w:line="360" w:lineRule="auto"/>
        <w:jc w:val="both"/>
        <w:rPr>
          <w:sz w:val="22"/>
          <w:szCs w:val="22"/>
        </w:rPr>
      </w:pPr>
      <w:r w:rsidRPr="00E14071">
        <w:rPr>
          <w:sz w:val="22"/>
          <w:szCs w:val="22"/>
        </w:rPr>
        <w:t>In tutti i casi sopra specificati, le comunicazioni inviate all’utente in merito alle risultanze dell’istruttoria vengono comunicate anche all’URP, alla SC Risorse Economico-Finanziarie per l’eventuale storno, totale o parziale delle fatture</w:t>
      </w:r>
      <w:r w:rsidR="00CD317E">
        <w:rPr>
          <w:sz w:val="22"/>
          <w:szCs w:val="22"/>
        </w:rPr>
        <w:t xml:space="preserve"> e alla Funzione Flussi della SC</w:t>
      </w:r>
      <w:r w:rsidRPr="00E14071">
        <w:rPr>
          <w:sz w:val="22"/>
          <w:szCs w:val="22"/>
        </w:rPr>
        <w:t xml:space="preserve"> Verifica Controllo e Appropriatezza Attività Sanitaria per la modifica dei flussi regionali connessi alla valorizzazione delle </w:t>
      </w:r>
      <w:r w:rsidR="00CD317E">
        <w:rPr>
          <w:sz w:val="22"/>
          <w:szCs w:val="22"/>
        </w:rPr>
        <w:t>prestazioni di Pronto Soccorso.</w:t>
      </w:r>
    </w:p>
    <w:p w:rsidR="00E14071" w:rsidRPr="00E14071" w:rsidRDefault="00E14071" w:rsidP="00E14071">
      <w:pPr>
        <w:spacing w:line="360" w:lineRule="auto"/>
        <w:jc w:val="both"/>
        <w:rPr>
          <w:sz w:val="22"/>
          <w:szCs w:val="22"/>
        </w:rPr>
      </w:pPr>
      <w:r w:rsidRPr="00E14071">
        <w:rPr>
          <w:sz w:val="22"/>
          <w:szCs w:val="22"/>
        </w:rPr>
        <w:t>Si dovrà tener in debito conto della scadenza annuale di chiusura delle rendicontazioni, al fine di evitare l’impossibilità di procedere alle rettifiche.</w:t>
      </w:r>
    </w:p>
    <w:p w:rsidR="00E14071" w:rsidRPr="00E14071" w:rsidRDefault="00E14071" w:rsidP="00E14071">
      <w:pPr>
        <w:spacing w:line="360" w:lineRule="auto"/>
        <w:jc w:val="both"/>
        <w:rPr>
          <w:dstrike/>
          <w:sz w:val="22"/>
          <w:szCs w:val="22"/>
        </w:rPr>
      </w:pPr>
      <w:r w:rsidRPr="00E14071">
        <w:rPr>
          <w:sz w:val="22"/>
          <w:szCs w:val="22"/>
        </w:rPr>
        <w:t>Nel caso di provata esenzione o di modifica dell’attribuzione del codice di dimissione, la comunicazione all’utente verrà inviat</w:t>
      </w:r>
      <w:r w:rsidR="00CD317E">
        <w:rPr>
          <w:sz w:val="22"/>
          <w:szCs w:val="22"/>
        </w:rPr>
        <w:t>a anche al Responsabile della SC</w:t>
      </w:r>
      <w:r w:rsidRPr="00E14071">
        <w:rPr>
          <w:sz w:val="22"/>
          <w:szCs w:val="22"/>
        </w:rPr>
        <w:t xml:space="preserve"> Pronto Soccorso del presidio competente, per le dovute annotazioni nel verbale a cura del medico che ha redatto lo </w:t>
      </w:r>
      <w:r w:rsidR="00CD317E">
        <w:rPr>
          <w:sz w:val="22"/>
          <w:szCs w:val="22"/>
        </w:rPr>
        <w:t>specifico verbale di dimissione.</w:t>
      </w:r>
    </w:p>
    <w:p w:rsidR="00E14071" w:rsidRPr="00CD317E" w:rsidRDefault="00E14071" w:rsidP="00CD317E">
      <w:pPr>
        <w:jc w:val="both"/>
        <w:rPr>
          <w:sz w:val="18"/>
          <w:szCs w:val="18"/>
        </w:rPr>
      </w:pPr>
    </w:p>
    <w:p w:rsidR="00E14071" w:rsidRPr="00E14071" w:rsidRDefault="00E14071" w:rsidP="00E14071">
      <w:pPr>
        <w:spacing w:line="360" w:lineRule="auto"/>
        <w:jc w:val="both"/>
        <w:rPr>
          <w:b/>
          <w:sz w:val="22"/>
          <w:szCs w:val="22"/>
        </w:rPr>
      </w:pPr>
      <w:r w:rsidRPr="00E14071">
        <w:rPr>
          <w:b/>
          <w:sz w:val="22"/>
          <w:szCs w:val="22"/>
        </w:rPr>
        <w:lastRenderedPageBreak/>
        <w:t xml:space="preserve">Art. 9 – Clausola di rinvio </w:t>
      </w:r>
    </w:p>
    <w:p w:rsidR="00E14071" w:rsidRPr="00E14071" w:rsidRDefault="00E14071" w:rsidP="00E14071">
      <w:pPr>
        <w:spacing w:line="360" w:lineRule="auto"/>
        <w:jc w:val="both"/>
        <w:rPr>
          <w:sz w:val="22"/>
          <w:szCs w:val="22"/>
        </w:rPr>
      </w:pPr>
      <w:r w:rsidRPr="00E14071">
        <w:rPr>
          <w:sz w:val="22"/>
          <w:szCs w:val="22"/>
        </w:rPr>
        <w:t xml:space="preserve">Per quanto non previsto nella presente procedura, si rimanda a quanto disciplinato nel Regolamento Aziendale – parte generale </w:t>
      </w:r>
      <w:r w:rsidR="00CD317E">
        <w:rPr>
          <w:sz w:val="22"/>
          <w:szCs w:val="22"/>
        </w:rPr>
        <w:t>in materia di recupero crediti.</w:t>
      </w:r>
    </w:p>
    <w:sectPr w:rsidR="00E14071" w:rsidRPr="00E14071" w:rsidSect="00CD317E">
      <w:headerReference w:type="default" r:id="rId10"/>
      <w:footerReference w:type="default" r:id="rId11"/>
      <w:pgSz w:w="11906" w:h="16838" w:code="9"/>
      <w:pgMar w:top="720" w:right="720" w:bottom="720" w:left="720" w:header="454" w:footer="567" w:gutter="0"/>
      <w:cols w:space="708"/>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D9C" w:rsidRDefault="00B22D9C">
      <w:r>
        <w:separator/>
      </w:r>
    </w:p>
  </w:endnote>
  <w:endnote w:type="continuationSeparator" w:id="0">
    <w:p w:rsidR="00B22D9C" w:rsidRDefault="00B2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06" w:type="dxa"/>
      <w:jc w:val="center"/>
      <w:tblLook w:val="04A0" w:firstRow="1" w:lastRow="0" w:firstColumn="1" w:lastColumn="0" w:noHBand="0" w:noVBand="1"/>
    </w:tblPr>
    <w:tblGrid>
      <w:gridCol w:w="1560"/>
      <w:gridCol w:w="5669"/>
      <w:gridCol w:w="1701"/>
      <w:gridCol w:w="1176"/>
    </w:tblGrid>
    <w:tr w:rsidR="00E14071" w:rsidRPr="000358C9" w:rsidTr="00B85F0B">
      <w:trPr>
        <w:jc w:val="center"/>
      </w:trPr>
      <w:tc>
        <w:tcPr>
          <w:tcW w:w="1560" w:type="dxa"/>
          <w:shd w:val="clear" w:color="auto" w:fill="auto"/>
        </w:tcPr>
        <w:p w:rsidR="00E14071" w:rsidRPr="000358C9" w:rsidRDefault="00E14071" w:rsidP="00B85F0B">
          <w:pPr>
            <w:rPr>
              <w:sz w:val="16"/>
              <w:szCs w:val="16"/>
              <w:lang w:eastAsia="x-none"/>
            </w:rPr>
          </w:pPr>
          <w:r w:rsidRPr="000358C9">
            <w:rPr>
              <w:sz w:val="16"/>
              <w:szCs w:val="16"/>
              <w:lang w:eastAsia="x-none"/>
            </w:rPr>
            <w:t>ASST Valle Olona</w:t>
          </w:r>
        </w:p>
      </w:tc>
      <w:tc>
        <w:tcPr>
          <w:tcW w:w="5669" w:type="dxa"/>
          <w:shd w:val="clear" w:color="auto" w:fill="auto"/>
        </w:tcPr>
        <w:p w:rsidR="00E14071" w:rsidRPr="00EE2310" w:rsidRDefault="00E14071" w:rsidP="00A267B5">
          <w:pPr>
            <w:jc w:val="center"/>
            <w:rPr>
              <w:sz w:val="16"/>
              <w:szCs w:val="16"/>
              <w:lang w:eastAsia="x-none"/>
            </w:rPr>
          </w:pPr>
          <w:r>
            <w:rPr>
              <w:sz w:val="16"/>
              <w:szCs w:val="16"/>
              <w:lang w:eastAsia="x-none"/>
            </w:rPr>
            <w:t>A1351_P27_R</w:t>
          </w:r>
          <w:r w:rsidR="00A267B5">
            <w:rPr>
              <w:sz w:val="16"/>
              <w:szCs w:val="16"/>
              <w:lang w:eastAsia="x-none"/>
            </w:rPr>
            <w:t>G</w:t>
          </w:r>
          <w:r>
            <w:rPr>
              <w:sz w:val="16"/>
              <w:szCs w:val="16"/>
              <w:lang w:eastAsia="x-none"/>
            </w:rPr>
            <w:t>01_MS01</w:t>
          </w:r>
        </w:p>
      </w:tc>
      <w:tc>
        <w:tcPr>
          <w:tcW w:w="1701" w:type="dxa"/>
          <w:shd w:val="clear" w:color="auto" w:fill="auto"/>
        </w:tcPr>
        <w:p w:rsidR="00E14071" w:rsidRPr="000358C9" w:rsidRDefault="00E14071" w:rsidP="00E14071">
          <w:pPr>
            <w:rPr>
              <w:sz w:val="16"/>
              <w:szCs w:val="16"/>
            </w:rPr>
          </w:pPr>
          <w:r>
            <w:rPr>
              <w:sz w:val="16"/>
              <w:szCs w:val="16"/>
            </w:rPr>
            <w:t>Rev00 del 31/03/2021</w:t>
          </w:r>
          <w:r w:rsidRPr="000358C9">
            <w:rPr>
              <w:sz w:val="16"/>
              <w:szCs w:val="16"/>
            </w:rPr>
            <w:t xml:space="preserve">  </w:t>
          </w:r>
        </w:p>
      </w:tc>
      <w:tc>
        <w:tcPr>
          <w:tcW w:w="1176" w:type="dxa"/>
          <w:shd w:val="clear" w:color="auto" w:fill="auto"/>
        </w:tcPr>
        <w:p w:rsidR="00E14071" w:rsidRPr="000358C9" w:rsidRDefault="00E14071" w:rsidP="00B85F0B">
          <w:pPr>
            <w:rPr>
              <w:sz w:val="16"/>
              <w:szCs w:val="16"/>
            </w:rPr>
          </w:pPr>
          <w:r w:rsidRPr="000358C9">
            <w:rPr>
              <w:sz w:val="16"/>
              <w:szCs w:val="16"/>
            </w:rPr>
            <w:t>Pag.</w:t>
          </w:r>
          <w:r w:rsidRPr="000358C9">
            <w:rPr>
              <w:sz w:val="16"/>
              <w:szCs w:val="16"/>
            </w:rPr>
            <w:fldChar w:fldCharType="begin"/>
          </w:r>
          <w:r w:rsidRPr="000358C9">
            <w:rPr>
              <w:sz w:val="16"/>
              <w:szCs w:val="16"/>
            </w:rPr>
            <w:instrText>PAGE  \* Arabic  \* MERGEFORMAT</w:instrText>
          </w:r>
          <w:r w:rsidRPr="000358C9">
            <w:rPr>
              <w:sz w:val="16"/>
              <w:szCs w:val="16"/>
            </w:rPr>
            <w:fldChar w:fldCharType="separate"/>
          </w:r>
          <w:r w:rsidR="00900118">
            <w:rPr>
              <w:noProof/>
              <w:sz w:val="16"/>
              <w:szCs w:val="16"/>
            </w:rPr>
            <w:t>1</w:t>
          </w:r>
          <w:r w:rsidRPr="000358C9">
            <w:rPr>
              <w:sz w:val="16"/>
              <w:szCs w:val="16"/>
            </w:rPr>
            <w:fldChar w:fldCharType="end"/>
          </w:r>
          <w:r w:rsidRPr="000358C9">
            <w:rPr>
              <w:sz w:val="16"/>
              <w:szCs w:val="16"/>
            </w:rPr>
            <w:t xml:space="preserve"> di </w:t>
          </w:r>
          <w:r w:rsidRPr="000358C9">
            <w:rPr>
              <w:sz w:val="16"/>
              <w:szCs w:val="16"/>
            </w:rPr>
            <w:fldChar w:fldCharType="begin"/>
          </w:r>
          <w:r w:rsidRPr="000358C9">
            <w:rPr>
              <w:sz w:val="16"/>
              <w:szCs w:val="16"/>
            </w:rPr>
            <w:instrText>NUMPAGES  \* Arabic  \* MERGEFORMAT</w:instrText>
          </w:r>
          <w:r w:rsidRPr="000358C9">
            <w:rPr>
              <w:sz w:val="16"/>
              <w:szCs w:val="16"/>
            </w:rPr>
            <w:fldChar w:fldCharType="separate"/>
          </w:r>
          <w:r w:rsidR="00900118">
            <w:rPr>
              <w:noProof/>
              <w:sz w:val="16"/>
              <w:szCs w:val="16"/>
            </w:rPr>
            <w:t>4</w:t>
          </w:r>
          <w:r w:rsidRPr="000358C9">
            <w:rPr>
              <w:sz w:val="16"/>
              <w:szCs w:val="16"/>
            </w:rPr>
            <w:fldChar w:fldCharType="end"/>
          </w:r>
        </w:p>
      </w:tc>
    </w:tr>
  </w:tbl>
  <w:p w:rsidR="007F5DF8" w:rsidRPr="002F66B8" w:rsidRDefault="007F5DF8" w:rsidP="005A4765">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D9C" w:rsidRDefault="00B22D9C">
      <w:r>
        <w:separator/>
      </w:r>
    </w:p>
  </w:footnote>
  <w:footnote w:type="continuationSeparator" w:id="0">
    <w:p w:rsidR="00B22D9C" w:rsidRDefault="00B22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34B" w:rsidRPr="00E14071" w:rsidRDefault="009C734B" w:rsidP="00CD317E">
    <w:pPr>
      <w:tabs>
        <w:tab w:val="center" w:pos="5974"/>
        <w:tab w:val="right" w:pos="9638"/>
      </w:tabs>
      <w:spacing w:line="360" w:lineRule="auto"/>
      <w:jc w:val="center"/>
      <w:rPr>
        <w:sz w:val="16"/>
        <w:szCs w:val="16"/>
        <w:lang w:eastAsia="x-none"/>
      </w:rPr>
    </w:pPr>
    <w:r w:rsidRPr="002F66B8">
      <w:rPr>
        <w:sz w:val="16"/>
        <w:szCs w:val="16"/>
        <w:lang w:val="x-none" w:eastAsia="x-none"/>
      </w:rPr>
      <w:t>Attività</w:t>
    </w:r>
    <w:r w:rsidRPr="002F66B8">
      <w:rPr>
        <w:b/>
        <w:sz w:val="16"/>
        <w:szCs w:val="16"/>
        <w:lang w:val="x-none" w:eastAsia="x-none"/>
      </w:rPr>
      <w:t xml:space="preserve"> </w:t>
    </w:r>
    <w:r w:rsidR="00E14071">
      <w:rPr>
        <w:sz w:val="16"/>
        <w:szCs w:val="16"/>
        <w:lang w:eastAsia="x-none"/>
      </w:rPr>
      <w:t>1357</w:t>
    </w:r>
    <w:r w:rsidRPr="002F66B8">
      <w:rPr>
        <w:sz w:val="16"/>
        <w:szCs w:val="16"/>
        <w:lang w:eastAsia="x-none"/>
      </w:rPr>
      <w:t xml:space="preserve"> – </w:t>
    </w:r>
    <w:r w:rsidR="00E14071" w:rsidRPr="00E14071">
      <w:rPr>
        <w:sz w:val="16"/>
        <w:szCs w:val="16"/>
      </w:rPr>
      <w:t>Gestione incassi e pagamenti; fattura elettronica; bilanci; sistema contabile</w:t>
    </w:r>
  </w:p>
  <w:p w:rsidR="009C734B" w:rsidRPr="002F66B8" w:rsidRDefault="00E14071" w:rsidP="00CD317E">
    <w:pPr>
      <w:tabs>
        <w:tab w:val="center" w:pos="6058"/>
        <w:tab w:val="right" w:pos="8504"/>
      </w:tabs>
      <w:spacing w:line="360" w:lineRule="auto"/>
      <w:jc w:val="center"/>
      <w:rPr>
        <w:b/>
        <w:caps/>
        <w:sz w:val="18"/>
        <w:szCs w:val="18"/>
        <w:lang w:eastAsia="x-none"/>
      </w:rPr>
    </w:pPr>
    <w:r w:rsidRPr="00E14071">
      <w:rPr>
        <w:b/>
        <w:caps/>
        <w:sz w:val="18"/>
        <w:szCs w:val="18"/>
        <w:lang w:eastAsia="x-none"/>
      </w:rPr>
      <w:t xml:space="preserve">SERVIZIO GIA PER IL </w:t>
    </w:r>
    <w:r>
      <w:rPr>
        <w:b/>
        <w:caps/>
        <w:sz w:val="18"/>
        <w:szCs w:val="18"/>
        <w:lang w:eastAsia="x-none"/>
      </w:rPr>
      <w:t>RECUPERO SPONTANEO DEL CREDITO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1E9"/>
    <w:multiLevelType w:val="hybridMultilevel"/>
    <w:tmpl w:val="EFE0F52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0A981F16"/>
    <w:multiLevelType w:val="hybridMultilevel"/>
    <w:tmpl w:val="86C0DAF6"/>
    <w:lvl w:ilvl="0" w:tplc="DE2826A0">
      <w:start w:val="1"/>
      <w:numFmt w:val="bullet"/>
      <w:lvlText w:val="□"/>
      <w:lvlJc w:val="left"/>
      <w:pPr>
        <w:ind w:left="720" w:hanging="360"/>
      </w:pPr>
      <w:rPr>
        <w:rFonts w:ascii="Courier New" w:hAnsi="Courier New" w:hint="default"/>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22099E"/>
    <w:multiLevelType w:val="hybridMultilevel"/>
    <w:tmpl w:val="A50C3A30"/>
    <w:lvl w:ilvl="0" w:tplc="EB0E379C">
      <w:start w:val="4"/>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149E2BC5"/>
    <w:multiLevelType w:val="hybridMultilevel"/>
    <w:tmpl w:val="15B65C10"/>
    <w:lvl w:ilvl="0" w:tplc="41E6A338">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nsid w:val="1AC77839"/>
    <w:multiLevelType w:val="hybridMultilevel"/>
    <w:tmpl w:val="0C56AE2C"/>
    <w:lvl w:ilvl="0" w:tplc="0F2451F2">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1AC7F07"/>
    <w:multiLevelType w:val="hybridMultilevel"/>
    <w:tmpl w:val="67409AC2"/>
    <w:lvl w:ilvl="0" w:tplc="629EACC4">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nsid w:val="28DC29C4"/>
    <w:multiLevelType w:val="hybridMultilevel"/>
    <w:tmpl w:val="010C877C"/>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D">
      <w:start w:val="1"/>
      <w:numFmt w:val="bullet"/>
      <w:lvlText w:val=""/>
      <w:lvlJc w:val="left"/>
      <w:pPr>
        <w:ind w:left="5220" w:hanging="360"/>
      </w:pPr>
      <w:rPr>
        <w:rFonts w:ascii="Wingdings" w:hAnsi="Wingdings" w:hint="default"/>
      </w:rPr>
    </w:lvl>
    <w:lvl w:ilvl="7" w:tplc="04100003">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nsid w:val="297064BA"/>
    <w:multiLevelType w:val="hybridMultilevel"/>
    <w:tmpl w:val="E1FACE6C"/>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E5403A5"/>
    <w:multiLevelType w:val="hybridMultilevel"/>
    <w:tmpl w:val="0030849E"/>
    <w:lvl w:ilvl="0" w:tplc="04100001">
      <w:start w:val="1"/>
      <w:numFmt w:val="bullet"/>
      <w:lvlText w:val=""/>
      <w:lvlJc w:val="left"/>
      <w:pPr>
        <w:ind w:left="2130" w:hanging="360"/>
      </w:pPr>
      <w:rPr>
        <w:rFonts w:ascii="Symbol" w:hAnsi="Symbol"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9">
    <w:nsid w:val="2EF81CDE"/>
    <w:multiLevelType w:val="hybridMultilevel"/>
    <w:tmpl w:val="364A300E"/>
    <w:lvl w:ilvl="0" w:tplc="176872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10517E"/>
    <w:multiLevelType w:val="hybridMultilevel"/>
    <w:tmpl w:val="73AAC8E4"/>
    <w:lvl w:ilvl="0" w:tplc="B6961ADA">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nsid w:val="34D92ED1"/>
    <w:multiLevelType w:val="hybridMultilevel"/>
    <w:tmpl w:val="79BCB9D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nsid w:val="35983C6D"/>
    <w:multiLevelType w:val="hybridMultilevel"/>
    <w:tmpl w:val="5A90C730"/>
    <w:lvl w:ilvl="0" w:tplc="1768726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709039E"/>
    <w:multiLevelType w:val="hybridMultilevel"/>
    <w:tmpl w:val="D4D6A37C"/>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37F72C45"/>
    <w:multiLevelType w:val="hybridMultilevel"/>
    <w:tmpl w:val="7B32C076"/>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3600"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nsid w:val="3915297A"/>
    <w:multiLevelType w:val="hybridMultilevel"/>
    <w:tmpl w:val="7F56AAAA"/>
    <w:lvl w:ilvl="0" w:tplc="EC0E763C">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3D233355"/>
    <w:multiLevelType w:val="hybridMultilevel"/>
    <w:tmpl w:val="55D2C114"/>
    <w:lvl w:ilvl="0" w:tplc="ED9C0BC6">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E865C6E"/>
    <w:multiLevelType w:val="hybridMultilevel"/>
    <w:tmpl w:val="69EE344E"/>
    <w:lvl w:ilvl="0" w:tplc="19D6A8F0">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nsid w:val="3FEE5845"/>
    <w:multiLevelType w:val="hybridMultilevel"/>
    <w:tmpl w:val="42BC9E3E"/>
    <w:lvl w:ilvl="0" w:tplc="3BC8FA22">
      <w:start w:val="1"/>
      <w:numFmt w:val="bullet"/>
      <w:lvlText w:val=""/>
      <w:lvlJc w:val="left"/>
      <w:pPr>
        <w:tabs>
          <w:tab w:val="num" w:pos="1069"/>
        </w:tabs>
        <w:ind w:left="1021" w:hanging="312"/>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416D417E"/>
    <w:multiLevelType w:val="hybridMultilevel"/>
    <w:tmpl w:val="65F24D46"/>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1842C2F"/>
    <w:multiLevelType w:val="hybridMultilevel"/>
    <w:tmpl w:val="4E6AA746"/>
    <w:lvl w:ilvl="0" w:tplc="392A4E6E">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nsid w:val="43A70F00"/>
    <w:multiLevelType w:val="hybridMultilevel"/>
    <w:tmpl w:val="2CA8753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2">
    <w:nsid w:val="466554D0"/>
    <w:multiLevelType w:val="hybridMultilevel"/>
    <w:tmpl w:val="58761A62"/>
    <w:lvl w:ilvl="0" w:tplc="0D2EF108">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3">
    <w:nsid w:val="48837DC6"/>
    <w:multiLevelType w:val="hybridMultilevel"/>
    <w:tmpl w:val="CA6C170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4DA85FF9"/>
    <w:multiLevelType w:val="hybridMultilevel"/>
    <w:tmpl w:val="4DDC5926"/>
    <w:lvl w:ilvl="0" w:tplc="3BC8FA22">
      <w:start w:val="1"/>
      <w:numFmt w:val="bullet"/>
      <w:lvlText w:val=""/>
      <w:lvlJc w:val="left"/>
      <w:pPr>
        <w:tabs>
          <w:tab w:val="num" w:pos="1069"/>
        </w:tabs>
        <w:ind w:left="1021" w:hanging="312"/>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50965563"/>
    <w:multiLevelType w:val="multilevel"/>
    <w:tmpl w:val="0696E0E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928"/>
        </w:tabs>
        <w:ind w:left="92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6">
    <w:nsid w:val="50D77E52"/>
    <w:multiLevelType w:val="hybridMultilevel"/>
    <w:tmpl w:val="82C2CB94"/>
    <w:lvl w:ilvl="0" w:tplc="9B242172">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7">
    <w:nsid w:val="51C5381A"/>
    <w:multiLevelType w:val="hybridMultilevel"/>
    <w:tmpl w:val="718EF108"/>
    <w:lvl w:ilvl="0" w:tplc="4BC64488">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8">
    <w:nsid w:val="52071D07"/>
    <w:multiLevelType w:val="hybridMultilevel"/>
    <w:tmpl w:val="AAFCF41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9">
    <w:nsid w:val="58114C8B"/>
    <w:multiLevelType w:val="hybridMultilevel"/>
    <w:tmpl w:val="C74EAD5C"/>
    <w:lvl w:ilvl="0" w:tplc="08B20A20">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0">
    <w:nsid w:val="59AE1EDF"/>
    <w:multiLevelType w:val="hybridMultilevel"/>
    <w:tmpl w:val="1EFCEDC0"/>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31">
    <w:nsid w:val="6219199E"/>
    <w:multiLevelType w:val="hybridMultilevel"/>
    <w:tmpl w:val="FBC8D0F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2">
    <w:nsid w:val="631D105C"/>
    <w:multiLevelType w:val="hybridMultilevel"/>
    <w:tmpl w:val="492693FA"/>
    <w:lvl w:ilvl="0" w:tplc="3294BC60">
      <w:numFmt w:val="bullet"/>
      <w:lvlText w:val="-"/>
      <w:lvlJc w:val="left"/>
      <w:pPr>
        <w:ind w:left="720" w:hanging="360"/>
      </w:pPr>
      <w:rPr>
        <w:rFonts w:ascii="Century Gothic" w:eastAsia="Times New Roman" w:hAnsi="Century Gothic"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AC554E5"/>
    <w:multiLevelType w:val="multilevel"/>
    <w:tmpl w:val="4872AC3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E3237EE"/>
    <w:multiLevelType w:val="hybridMultilevel"/>
    <w:tmpl w:val="3AB495EC"/>
    <w:lvl w:ilvl="0" w:tplc="EB40935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6E4A63A5"/>
    <w:multiLevelType w:val="hybridMultilevel"/>
    <w:tmpl w:val="A5B6C4BC"/>
    <w:lvl w:ilvl="0" w:tplc="A112AE6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0E9725E"/>
    <w:multiLevelType w:val="hybridMultilevel"/>
    <w:tmpl w:val="A92457C0"/>
    <w:lvl w:ilvl="0" w:tplc="4050CA70">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7">
    <w:nsid w:val="74AB0870"/>
    <w:multiLevelType w:val="hybridMultilevel"/>
    <w:tmpl w:val="AAF27E02"/>
    <w:lvl w:ilvl="0" w:tplc="3DF8AA74">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24"/>
  </w:num>
  <w:num w:numId="2">
    <w:abstractNumId w:val="11"/>
  </w:num>
  <w:num w:numId="3">
    <w:abstractNumId w:val="18"/>
  </w:num>
  <w:num w:numId="4">
    <w:abstractNumId w:val="4"/>
  </w:num>
  <w:num w:numId="5">
    <w:abstractNumId w:val="19"/>
  </w:num>
  <w:num w:numId="6">
    <w:abstractNumId w:val="16"/>
  </w:num>
  <w:num w:numId="7">
    <w:abstractNumId w:val="0"/>
  </w:num>
  <w:num w:numId="8">
    <w:abstractNumId w:val="12"/>
  </w:num>
  <w:num w:numId="9">
    <w:abstractNumId w:val="3"/>
  </w:num>
  <w:num w:numId="10">
    <w:abstractNumId w:val="10"/>
  </w:num>
  <w:num w:numId="11">
    <w:abstractNumId w:val="22"/>
  </w:num>
  <w:num w:numId="12">
    <w:abstractNumId w:val="27"/>
  </w:num>
  <w:num w:numId="13">
    <w:abstractNumId w:val="20"/>
  </w:num>
  <w:num w:numId="14">
    <w:abstractNumId w:val="26"/>
  </w:num>
  <w:num w:numId="15">
    <w:abstractNumId w:val="17"/>
  </w:num>
  <w:num w:numId="16">
    <w:abstractNumId w:val="36"/>
  </w:num>
  <w:num w:numId="17">
    <w:abstractNumId w:val="37"/>
  </w:num>
  <w:num w:numId="18">
    <w:abstractNumId w:val="29"/>
  </w:num>
  <w:num w:numId="19">
    <w:abstractNumId w:val="5"/>
  </w:num>
  <w:num w:numId="20">
    <w:abstractNumId w:val="15"/>
  </w:num>
  <w:num w:numId="21">
    <w:abstractNumId w:val="34"/>
  </w:num>
  <w:num w:numId="22">
    <w:abstractNumId w:val="9"/>
  </w:num>
  <w:num w:numId="23">
    <w:abstractNumId w:val="1"/>
  </w:num>
  <w:num w:numId="24">
    <w:abstractNumId w:val="32"/>
  </w:num>
  <w:num w:numId="25">
    <w:abstractNumId w:val="2"/>
  </w:num>
  <w:num w:numId="26">
    <w:abstractNumId w:val="8"/>
  </w:num>
  <w:num w:numId="27">
    <w:abstractNumId w:val="28"/>
  </w:num>
  <w:num w:numId="28">
    <w:abstractNumId w:val="30"/>
  </w:num>
  <w:num w:numId="29">
    <w:abstractNumId w:val="31"/>
  </w:num>
  <w:num w:numId="30">
    <w:abstractNumId w:val="35"/>
  </w:num>
  <w:num w:numId="31">
    <w:abstractNumId w:val="13"/>
  </w:num>
  <w:num w:numId="32">
    <w:abstractNumId w:val="14"/>
  </w:num>
  <w:num w:numId="33">
    <w:abstractNumId w:val="6"/>
  </w:num>
  <w:num w:numId="34">
    <w:abstractNumId w:val="25"/>
  </w:num>
  <w:num w:numId="35">
    <w:abstractNumId w:val="33"/>
  </w:num>
  <w:num w:numId="36">
    <w:abstractNumId w:val="23"/>
  </w:num>
  <w:num w:numId="37">
    <w:abstractNumId w:val="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OLE_LINK1" w:val="Empty"/>
  </w:docVars>
  <w:rsids>
    <w:rsidRoot w:val="007B5569"/>
    <w:rsid w:val="00010A51"/>
    <w:rsid w:val="00056D55"/>
    <w:rsid w:val="0006229C"/>
    <w:rsid w:val="000844E5"/>
    <w:rsid w:val="00092D91"/>
    <w:rsid w:val="000A6E38"/>
    <w:rsid w:val="000B200A"/>
    <w:rsid w:val="000C19C6"/>
    <w:rsid w:val="000C5385"/>
    <w:rsid w:val="000D321A"/>
    <w:rsid w:val="000E5774"/>
    <w:rsid w:val="000F3019"/>
    <w:rsid w:val="000F4064"/>
    <w:rsid w:val="000F4585"/>
    <w:rsid w:val="000F4889"/>
    <w:rsid w:val="001075F7"/>
    <w:rsid w:val="0011731B"/>
    <w:rsid w:val="001232B2"/>
    <w:rsid w:val="00124B72"/>
    <w:rsid w:val="00132341"/>
    <w:rsid w:val="00160AAB"/>
    <w:rsid w:val="00165A5E"/>
    <w:rsid w:val="0017497A"/>
    <w:rsid w:val="00180C99"/>
    <w:rsid w:val="00183FCE"/>
    <w:rsid w:val="00191633"/>
    <w:rsid w:val="001A0551"/>
    <w:rsid w:val="001A35E5"/>
    <w:rsid w:val="001A42A6"/>
    <w:rsid w:val="001B077A"/>
    <w:rsid w:val="001B2B0E"/>
    <w:rsid w:val="001B543F"/>
    <w:rsid w:val="001B6121"/>
    <w:rsid w:val="001D094F"/>
    <w:rsid w:val="001D5598"/>
    <w:rsid w:val="001F444C"/>
    <w:rsid w:val="001F7FBA"/>
    <w:rsid w:val="00227828"/>
    <w:rsid w:val="0024206A"/>
    <w:rsid w:val="00244AF1"/>
    <w:rsid w:val="002604D8"/>
    <w:rsid w:val="00261164"/>
    <w:rsid w:val="00271908"/>
    <w:rsid w:val="00274AAD"/>
    <w:rsid w:val="00276510"/>
    <w:rsid w:val="002918C3"/>
    <w:rsid w:val="00292E21"/>
    <w:rsid w:val="0029318F"/>
    <w:rsid w:val="002A21A4"/>
    <w:rsid w:val="002A45FC"/>
    <w:rsid w:val="002B5EB8"/>
    <w:rsid w:val="002B6B46"/>
    <w:rsid w:val="002C1B5A"/>
    <w:rsid w:val="002F66B8"/>
    <w:rsid w:val="003116DA"/>
    <w:rsid w:val="00314A3C"/>
    <w:rsid w:val="00321A63"/>
    <w:rsid w:val="0032311D"/>
    <w:rsid w:val="0032585C"/>
    <w:rsid w:val="003334DA"/>
    <w:rsid w:val="00335167"/>
    <w:rsid w:val="003520AD"/>
    <w:rsid w:val="00352DC0"/>
    <w:rsid w:val="00353F3B"/>
    <w:rsid w:val="00357923"/>
    <w:rsid w:val="003579DE"/>
    <w:rsid w:val="00363565"/>
    <w:rsid w:val="00364413"/>
    <w:rsid w:val="00374952"/>
    <w:rsid w:val="00384C2F"/>
    <w:rsid w:val="00387067"/>
    <w:rsid w:val="00396AF3"/>
    <w:rsid w:val="003A1B10"/>
    <w:rsid w:val="003A6483"/>
    <w:rsid w:val="003C20B7"/>
    <w:rsid w:val="003C46F7"/>
    <w:rsid w:val="003E3100"/>
    <w:rsid w:val="003E4F30"/>
    <w:rsid w:val="003F7E79"/>
    <w:rsid w:val="00402F52"/>
    <w:rsid w:val="00404ECF"/>
    <w:rsid w:val="00415EDB"/>
    <w:rsid w:val="004274BD"/>
    <w:rsid w:val="00440EC4"/>
    <w:rsid w:val="004514E1"/>
    <w:rsid w:val="00452B60"/>
    <w:rsid w:val="0045585E"/>
    <w:rsid w:val="00465F2A"/>
    <w:rsid w:val="00486CED"/>
    <w:rsid w:val="004940E9"/>
    <w:rsid w:val="004A6C6A"/>
    <w:rsid w:val="004C79C2"/>
    <w:rsid w:val="004D44F0"/>
    <w:rsid w:val="004D4765"/>
    <w:rsid w:val="004E2420"/>
    <w:rsid w:val="005155BD"/>
    <w:rsid w:val="005246F7"/>
    <w:rsid w:val="00554D69"/>
    <w:rsid w:val="005713D3"/>
    <w:rsid w:val="00577CD8"/>
    <w:rsid w:val="005A0E18"/>
    <w:rsid w:val="005A1120"/>
    <w:rsid w:val="005A4765"/>
    <w:rsid w:val="005A66F8"/>
    <w:rsid w:val="005B0C2C"/>
    <w:rsid w:val="005C6D56"/>
    <w:rsid w:val="005D42C0"/>
    <w:rsid w:val="005E06D9"/>
    <w:rsid w:val="005F773D"/>
    <w:rsid w:val="0060090E"/>
    <w:rsid w:val="0062313D"/>
    <w:rsid w:val="00625E79"/>
    <w:rsid w:val="00631CC8"/>
    <w:rsid w:val="006353AB"/>
    <w:rsid w:val="0063691F"/>
    <w:rsid w:val="00636CBA"/>
    <w:rsid w:val="006438D4"/>
    <w:rsid w:val="006455DC"/>
    <w:rsid w:val="00645B41"/>
    <w:rsid w:val="00665CA7"/>
    <w:rsid w:val="00675E91"/>
    <w:rsid w:val="00684A69"/>
    <w:rsid w:val="006911B2"/>
    <w:rsid w:val="00693086"/>
    <w:rsid w:val="00696A5F"/>
    <w:rsid w:val="006B3409"/>
    <w:rsid w:val="006B5064"/>
    <w:rsid w:val="006C0454"/>
    <w:rsid w:val="006D35C5"/>
    <w:rsid w:val="006E7A43"/>
    <w:rsid w:val="006F4CDE"/>
    <w:rsid w:val="006F7466"/>
    <w:rsid w:val="00717F2A"/>
    <w:rsid w:val="00725B89"/>
    <w:rsid w:val="0073292E"/>
    <w:rsid w:val="00735A33"/>
    <w:rsid w:val="00742986"/>
    <w:rsid w:val="00742A4E"/>
    <w:rsid w:val="007514BF"/>
    <w:rsid w:val="0076427E"/>
    <w:rsid w:val="00780C40"/>
    <w:rsid w:val="00791C71"/>
    <w:rsid w:val="00797B53"/>
    <w:rsid w:val="007A4B70"/>
    <w:rsid w:val="007B2849"/>
    <w:rsid w:val="007B5569"/>
    <w:rsid w:val="007B7989"/>
    <w:rsid w:val="007C31E6"/>
    <w:rsid w:val="007C5121"/>
    <w:rsid w:val="007C6ACE"/>
    <w:rsid w:val="007D3784"/>
    <w:rsid w:val="007D6468"/>
    <w:rsid w:val="007E68F9"/>
    <w:rsid w:val="007F4D89"/>
    <w:rsid w:val="007F5DF8"/>
    <w:rsid w:val="008054C8"/>
    <w:rsid w:val="00806140"/>
    <w:rsid w:val="00812AFD"/>
    <w:rsid w:val="0081442A"/>
    <w:rsid w:val="00816C73"/>
    <w:rsid w:val="00822568"/>
    <w:rsid w:val="008231E2"/>
    <w:rsid w:val="008301CD"/>
    <w:rsid w:val="00831E85"/>
    <w:rsid w:val="0084096A"/>
    <w:rsid w:val="00850CD7"/>
    <w:rsid w:val="00873E23"/>
    <w:rsid w:val="008743BB"/>
    <w:rsid w:val="00876D4B"/>
    <w:rsid w:val="00880797"/>
    <w:rsid w:val="00880BE5"/>
    <w:rsid w:val="00882FD7"/>
    <w:rsid w:val="00885A25"/>
    <w:rsid w:val="008903F5"/>
    <w:rsid w:val="008A3946"/>
    <w:rsid w:val="008C678B"/>
    <w:rsid w:val="008C7665"/>
    <w:rsid w:val="008E0C39"/>
    <w:rsid w:val="008E7028"/>
    <w:rsid w:val="008E7143"/>
    <w:rsid w:val="00900118"/>
    <w:rsid w:val="00902323"/>
    <w:rsid w:val="00904D5C"/>
    <w:rsid w:val="00917984"/>
    <w:rsid w:val="009328D9"/>
    <w:rsid w:val="00955EE6"/>
    <w:rsid w:val="00962757"/>
    <w:rsid w:val="00963BAB"/>
    <w:rsid w:val="00972104"/>
    <w:rsid w:val="00975913"/>
    <w:rsid w:val="009853EE"/>
    <w:rsid w:val="009A0822"/>
    <w:rsid w:val="009A1D9E"/>
    <w:rsid w:val="009A234F"/>
    <w:rsid w:val="009A2A85"/>
    <w:rsid w:val="009B0849"/>
    <w:rsid w:val="009B42B4"/>
    <w:rsid w:val="009C734B"/>
    <w:rsid w:val="009D1026"/>
    <w:rsid w:val="009D2AF8"/>
    <w:rsid w:val="009D7C2B"/>
    <w:rsid w:val="009F0E11"/>
    <w:rsid w:val="009F2834"/>
    <w:rsid w:val="009F5514"/>
    <w:rsid w:val="00A018E5"/>
    <w:rsid w:val="00A0311A"/>
    <w:rsid w:val="00A037BA"/>
    <w:rsid w:val="00A048C9"/>
    <w:rsid w:val="00A267B5"/>
    <w:rsid w:val="00A34CA5"/>
    <w:rsid w:val="00A47CE7"/>
    <w:rsid w:val="00A53090"/>
    <w:rsid w:val="00A5343D"/>
    <w:rsid w:val="00A6254F"/>
    <w:rsid w:val="00A6439C"/>
    <w:rsid w:val="00A766D3"/>
    <w:rsid w:val="00A8190A"/>
    <w:rsid w:val="00A97B7E"/>
    <w:rsid w:val="00AA4FEF"/>
    <w:rsid w:val="00AB024E"/>
    <w:rsid w:val="00AB301A"/>
    <w:rsid w:val="00AC54A5"/>
    <w:rsid w:val="00AC5659"/>
    <w:rsid w:val="00AC756F"/>
    <w:rsid w:val="00AD00D6"/>
    <w:rsid w:val="00AD20B1"/>
    <w:rsid w:val="00AD6E01"/>
    <w:rsid w:val="00B038E5"/>
    <w:rsid w:val="00B17EF9"/>
    <w:rsid w:val="00B22D9C"/>
    <w:rsid w:val="00B3199C"/>
    <w:rsid w:val="00B321A9"/>
    <w:rsid w:val="00B37625"/>
    <w:rsid w:val="00B72AAB"/>
    <w:rsid w:val="00B738EA"/>
    <w:rsid w:val="00B76DD1"/>
    <w:rsid w:val="00B93C3A"/>
    <w:rsid w:val="00BA0AEB"/>
    <w:rsid w:val="00BB0421"/>
    <w:rsid w:val="00BC0ECB"/>
    <w:rsid w:val="00BC45CD"/>
    <w:rsid w:val="00BC6074"/>
    <w:rsid w:val="00BC6F94"/>
    <w:rsid w:val="00BD4F83"/>
    <w:rsid w:val="00BD5BA4"/>
    <w:rsid w:val="00BE72BC"/>
    <w:rsid w:val="00C21221"/>
    <w:rsid w:val="00C34433"/>
    <w:rsid w:val="00C44AD2"/>
    <w:rsid w:val="00C461E9"/>
    <w:rsid w:val="00C524FA"/>
    <w:rsid w:val="00C9103A"/>
    <w:rsid w:val="00C97A1A"/>
    <w:rsid w:val="00CA1711"/>
    <w:rsid w:val="00CB6320"/>
    <w:rsid w:val="00CC6FC9"/>
    <w:rsid w:val="00CD317E"/>
    <w:rsid w:val="00CE0089"/>
    <w:rsid w:val="00CE560E"/>
    <w:rsid w:val="00CF06DA"/>
    <w:rsid w:val="00D00686"/>
    <w:rsid w:val="00D035DF"/>
    <w:rsid w:val="00D06D0B"/>
    <w:rsid w:val="00D06E90"/>
    <w:rsid w:val="00D173B7"/>
    <w:rsid w:val="00D21459"/>
    <w:rsid w:val="00D2459A"/>
    <w:rsid w:val="00D25C33"/>
    <w:rsid w:val="00D50B6A"/>
    <w:rsid w:val="00D609AC"/>
    <w:rsid w:val="00D63370"/>
    <w:rsid w:val="00D74A3F"/>
    <w:rsid w:val="00D74BFD"/>
    <w:rsid w:val="00D77C54"/>
    <w:rsid w:val="00D80FD6"/>
    <w:rsid w:val="00D91EEC"/>
    <w:rsid w:val="00D9411D"/>
    <w:rsid w:val="00DB082B"/>
    <w:rsid w:val="00DB5008"/>
    <w:rsid w:val="00DC084B"/>
    <w:rsid w:val="00DC59B9"/>
    <w:rsid w:val="00DC6E5A"/>
    <w:rsid w:val="00DD5F3B"/>
    <w:rsid w:val="00DF138A"/>
    <w:rsid w:val="00E14071"/>
    <w:rsid w:val="00E140E1"/>
    <w:rsid w:val="00E342F0"/>
    <w:rsid w:val="00E34D9F"/>
    <w:rsid w:val="00E4456F"/>
    <w:rsid w:val="00E453C3"/>
    <w:rsid w:val="00E47D30"/>
    <w:rsid w:val="00E70CD7"/>
    <w:rsid w:val="00E728BB"/>
    <w:rsid w:val="00E844AC"/>
    <w:rsid w:val="00E9199F"/>
    <w:rsid w:val="00E9630E"/>
    <w:rsid w:val="00EA091C"/>
    <w:rsid w:val="00EB2F65"/>
    <w:rsid w:val="00EC0AA9"/>
    <w:rsid w:val="00EC459A"/>
    <w:rsid w:val="00ED7569"/>
    <w:rsid w:val="00EE09EB"/>
    <w:rsid w:val="00EE38AC"/>
    <w:rsid w:val="00EE53A7"/>
    <w:rsid w:val="00EF5050"/>
    <w:rsid w:val="00EF7391"/>
    <w:rsid w:val="00F00AE5"/>
    <w:rsid w:val="00F02409"/>
    <w:rsid w:val="00F0777B"/>
    <w:rsid w:val="00F17502"/>
    <w:rsid w:val="00F212F0"/>
    <w:rsid w:val="00F24F40"/>
    <w:rsid w:val="00F3722E"/>
    <w:rsid w:val="00F4767F"/>
    <w:rsid w:val="00F47C87"/>
    <w:rsid w:val="00F52593"/>
    <w:rsid w:val="00F567AF"/>
    <w:rsid w:val="00F61D42"/>
    <w:rsid w:val="00F62822"/>
    <w:rsid w:val="00F70BB4"/>
    <w:rsid w:val="00F73122"/>
    <w:rsid w:val="00F947C7"/>
    <w:rsid w:val="00FA5C19"/>
    <w:rsid w:val="00FB3EC6"/>
    <w:rsid w:val="00FB6EED"/>
    <w:rsid w:val="00FB7207"/>
    <w:rsid w:val="00FC6B81"/>
    <w:rsid w:val="00FD0392"/>
    <w:rsid w:val="00FD3921"/>
    <w:rsid w:val="00FE22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7"/>
      <w:szCs w:val="27"/>
    </w:rPr>
  </w:style>
  <w:style w:type="paragraph" w:styleId="Titolo1">
    <w:name w:val="heading 1"/>
    <w:basedOn w:val="Normale"/>
    <w:next w:val="Normale"/>
    <w:qFormat/>
    <w:pPr>
      <w:keepNext/>
      <w:outlineLvl w:val="0"/>
    </w:pPr>
    <w:rPr>
      <w:rFonts w:ascii="Tahoma" w:hAnsi="Tahoma" w:cs="Tahoma"/>
      <w:i/>
      <w:iCs/>
      <w:sz w:val="24"/>
    </w:rPr>
  </w:style>
  <w:style w:type="paragraph" w:styleId="Titolo2">
    <w:name w:val="heading 2"/>
    <w:basedOn w:val="Normale"/>
    <w:next w:val="Normale"/>
    <w:qFormat/>
    <w:pPr>
      <w:keepNext/>
      <w:tabs>
        <w:tab w:val="left" w:pos="1440"/>
      </w:tabs>
      <w:ind w:left="1440" w:hanging="1440"/>
      <w:outlineLvl w:val="1"/>
    </w:pPr>
    <w:rPr>
      <w:rFonts w:ascii="Tahoma" w:hAnsi="Tahoma" w:cs="Tahoma"/>
      <w:b/>
      <w:bCs/>
      <w:i/>
      <w:iCs/>
      <w:sz w:val="20"/>
    </w:rPr>
  </w:style>
  <w:style w:type="paragraph" w:styleId="Titolo3">
    <w:name w:val="heading 3"/>
    <w:basedOn w:val="Normale"/>
    <w:next w:val="Normale"/>
    <w:qFormat/>
    <w:pPr>
      <w:keepNext/>
      <w:tabs>
        <w:tab w:val="left" w:pos="1440"/>
      </w:tabs>
      <w:ind w:left="1440" w:hanging="1440"/>
      <w:outlineLvl w:val="2"/>
    </w:pPr>
    <w:rPr>
      <w:rFonts w:ascii="Tahoma" w:hAnsi="Tahoma" w:cs="Tahoma"/>
      <w:b/>
      <w:bCs/>
      <w:sz w:val="20"/>
    </w:rPr>
  </w:style>
  <w:style w:type="paragraph" w:styleId="Titolo4">
    <w:name w:val="heading 4"/>
    <w:basedOn w:val="Normale"/>
    <w:next w:val="Normale"/>
    <w:qFormat/>
    <w:pPr>
      <w:keepNext/>
      <w:tabs>
        <w:tab w:val="left" w:pos="1440"/>
      </w:tabs>
      <w:ind w:left="1440" w:hanging="1440"/>
      <w:outlineLvl w:val="3"/>
    </w:pPr>
    <w:rPr>
      <w:rFonts w:ascii="Tahoma" w:hAnsi="Tahoma" w:cs="Tahoma"/>
      <w:b/>
      <w:bCs/>
      <w:i/>
      <w:iCs/>
      <w:sz w:val="24"/>
    </w:rPr>
  </w:style>
  <w:style w:type="paragraph" w:styleId="Titolo5">
    <w:name w:val="heading 5"/>
    <w:basedOn w:val="Normale"/>
    <w:next w:val="Normale"/>
    <w:qFormat/>
    <w:pPr>
      <w:keepNext/>
      <w:outlineLvl w:val="4"/>
    </w:pPr>
    <w:rPr>
      <w:rFonts w:ascii="Tahoma" w:hAnsi="Tahoma" w:cs="Tahoma"/>
      <w:b/>
      <w:bCs/>
      <w:sz w:val="24"/>
    </w:rPr>
  </w:style>
  <w:style w:type="paragraph" w:styleId="Titolo6">
    <w:name w:val="heading 6"/>
    <w:basedOn w:val="Normale"/>
    <w:next w:val="Normale"/>
    <w:qFormat/>
    <w:pPr>
      <w:keepNext/>
      <w:jc w:val="both"/>
      <w:outlineLvl w:val="5"/>
    </w:pPr>
    <w:rPr>
      <w:rFonts w:ascii="Tahoma" w:hAnsi="Tahoma" w:cs="Tahoma"/>
      <w:b/>
      <w:bCs/>
      <w:sz w:val="20"/>
    </w:rPr>
  </w:style>
  <w:style w:type="paragraph" w:styleId="Titolo7">
    <w:name w:val="heading 7"/>
    <w:basedOn w:val="Normale"/>
    <w:next w:val="Normale"/>
    <w:link w:val="Titolo7Carattere"/>
    <w:qFormat/>
    <w:pPr>
      <w:keepNext/>
      <w:jc w:val="center"/>
      <w:outlineLvl w:val="6"/>
    </w:pPr>
    <w:rPr>
      <w:rFonts w:ascii="Arial" w:hAnsi="Arial" w:cs="Arial"/>
      <w:b/>
      <w:bCs/>
      <w:sz w:val="24"/>
      <w:szCs w:val="20"/>
      <w:u w:val="single"/>
    </w:rPr>
  </w:style>
  <w:style w:type="paragraph" w:styleId="Titolo8">
    <w:name w:val="heading 8"/>
    <w:basedOn w:val="Normale"/>
    <w:next w:val="Normale"/>
    <w:qFormat/>
    <w:pPr>
      <w:keepNext/>
      <w:outlineLvl w:val="7"/>
    </w:pPr>
    <w:rPr>
      <w:rFonts w:ascii="Arial" w:hAnsi="Arial" w:cs="Arial"/>
      <w:b/>
      <w:bCs/>
      <w:sz w:val="20"/>
    </w:rPr>
  </w:style>
  <w:style w:type="paragraph" w:styleId="Titolo9">
    <w:name w:val="heading 9"/>
    <w:basedOn w:val="Normale"/>
    <w:next w:val="Normale"/>
    <w:qFormat/>
    <w:pPr>
      <w:keepNext/>
      <w:spacing w:before="240" w:line="360" w:lineRule="auto"/>
      <w:jc w:val="center"/>
      <w:outlineLvl w:val="8"/>
    </w:pPr>
    <w:rPr>
      <w:rFonts w:ascii="Palatino Linotype" w:hAnsi="Palatino Linotype" w:cs="Arial"/>
      <w:color w:val="339966"/>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semiHidden/>
    <w:rPr>
      <w:rFonts w:ascii="Courier New" w:hAnsi="Courier New" w:cs="Courier New"/>
      <w:sz w:val="20"/>
      <w:szCs w:val="20"/>
    </w:rPr>
  </w:style>
  <w:style w:type="paragraph" w:styleId="Corpotesto">
    <w:name w:val="Body Text"/>
    <w:basedOn w:val="Normale"/>
    <w:semiHidden/>
    <w:pPr>
      <w:jc w:val="both"/>
    </w:pPr>
    <w:rPr>
      <w:rFonts w:ascii="Tahoma" w:hAnsi="Tahoma" w:cs="Tahoma"/>
      <w:b/>
      <w:bCs/>
      <w:i/>
      <w:iCs/>
      <w:sz w:val="20"/>
    </w:rPr>
  </w:style>
  <w:style w:type="paragraph" w:styleId="Titolo">
    <w:name w:val="Title"/>
    <w:basedOn w:val="Normale"/>
    <w:qFormat/>
    <w:pPr>
      <w:jc w:val="center"/>
    </w:pPr>
    <w:rPr>
      <w:rFonts w:ascii="Tahoma" w:hAnsi="Tahoma" w:cs="Tahoma"/>
      <w:b/>
      <w:bCs/>
      <w:sz w:val="48"/>
    </w:rPr>
  </w:style>
  <w:style w:type="paragraph" w:styleId="Sottotitolo">
    <w:name w:val="Subtitle"/>
    <w:basedOn w:val="Normale"/>
    <w:qFormat/>
    <w:pPr>
      <w:jc w:val="center"/>
    </w:pPr>
    <w:rPr>
      <w:rFonts w:ascii="Tahoma" w:hAnsi="Tahoma" w:cs="Tahoma"/>
      <w:sz w:val="36"/>
    </w:rPr>
  </w:style>
  <w:style w:type="paragraph" w:styleId="Intestazione">
    <w:name w:val="header"/>
    <w:basedOn w:val="Normale"/>
    <w:link w:val="IntestazioneCarattere"/>
    <w:uiPriority w:val="99"/>
    <w:pPr>
      <w:tabs>
        <w:tab w:val="center" w:pos="4819"/>
        <w:tab w:val="right" w:pos="9638"/>
      </w:tabs>
    </w:pPr>
    <w:rPr>
      <w:lang w:val="x-none" w:eastAsia="x-none"/>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Corpodeltesto2">
    <w:name w:val="Body Text 2"/>
    <w:basedOn w:val="Normale"/>
    <w:semiHidden/>
    <w:pPr>
      <w:jc w:val="center"/>
    </w:pPr>
    <w:rPr>
      <w:rFonts w:ascii="Arial" w:hAnsi="Arial" w:cs="Arial"/>
      <w:b/>
      <w:bCs/>
      <w:sz w:val="28"/>
      <w:szCs w:val="20"/>
    </w:rPr>
  </w:style>
  <w:style w:type="paragraph" w:styleId="NormaleWeb">
    <w:name w:val="Normal (Web)"/>
    <w:basedOn w:val="Normale"/>
    <w:semiHidden/>
    <w:pPr>
      <w:spacing w:before="100" w:beforeAutospacing="1" w:after="100" w:afterAutospacing="1"/>
    </w:pPr>
    <w:rPr>
      <w:sz w:val="24"/>
      <w:szCs w:val="24"/>
    </w:rPr>
  </w:style>
  <w:style w:type="character" w:styleId="Collegamentoipertestuale">
    <w:name w:val="Hyperlink"/>
    <w:semiHidden/>
    <w:rPr>
      <w:color w:val="0000FF"/>
      <w:u w:val="single"/>
    </w:rPr>
  </w:style>
  <w:style w:type="paragraph" w:styleId="Corpodeltesto3">
    <w:name w:val="Body Text 3"/>
    <w:basedOn w:val="Normale"/>
    <w:semiHidden/>
    <w:pPr>
      <w:autoSpaceDE w:val="0"/>
      <w:autoSpaceDN w:val="0"/>
      <w:adjustRightInd w:val="0"/>
      <w:jc w:val="both"/>
    </w:pPr>
    <w:rPr>
      <w:rFonts w:ascii="Tahoma" w:hAnsi="Tahoma" w:cs="Tahoma"/>
      <w:sz w:val="24"/>
    </w:rPr>
  </w:style>
  <w:style w:type="character" w:styleId="Numeropagina">
    <w:name w:val="page number"/>
    <w:basedOn w:val="Carpredefinitoparagrafo"/>
    <w:semiHidden/>
  </w:style>
  <w:style w:type="character" w:styleId="Collegamentovisitato">
    <w:name w:val="FollowedHyperlink"/>
    <w:semiHidden/>
    <w:rPr>
      <w:color w:val="800080"/>
      <w:u w:val="single"/>
    </w:rPr>
  </w:style>
  <w:style w:type="paragraph" w:styleId="Testonotaapidipagina">
    <w:name w:val="footnote text"/>
    <w:basedOn w:val="Normale"/>
    <w:semiHidden/>
    <w:rPr>
      <w:sz w:val="20"/>
      <w:szCs w:val="20"/>
    </w:rPr>
  </w:style>
  <w:style w:type="paragraph" w:customStyle="1" w:styleId="Default">
    <w:name w:val="Default"/>
    <w:pPr>
      <w:autoSpaceDE w:val="0"/>
      <w:autoSpaceDN w:val="0"/>
      <w:adjustRightInd w:val="0"/>
    </w:pPr>
    <w:rPr>
      <w:rFonts w:ascii="Calibri" w:hAnsi="Calibri"/>
      <w:color w:val="000000"/>
      <w:sz w:val="24"/>
      <w:szCs w:val="24"/>
    </w:rPr>
  </w:style>
  <w:style w:type="character" w:customStyle="1" w:styleId="PidipaginaCarattere">
    <w:name w:val="Piè di pagina Carattere"/>
    <w:link w:val="Pidipagina"/>
    <w:uiPriority w:val="99"/>
    <w:rsid w:val="00363565"/>
    <w:rPr>
      <w:sz w:val="27"/>
      <w:szCs w:val="27"/>
    </w:rPr>
  </w:style>
  <w:style w:type="paragraph" w:customStyle="1" w:styleId="titolo0">
    <w:name w:val="titolo"/>
    <w:basedOn w:val="Intestazione"/>
    <w:rsid w:val="000F4585"/>
    <w:pPr>
      <w:tabs>
        <w:tab w:val="clear" w:pos="4819"/>
        <w:tab w:val="clear" w:pos="9638"/>
        <w:tab w:val="center" w:pos="4252"/>
        <w:tab w:val="right" w:pos="8504"/>
      </w:tabs>
      <w:jc w:val="center"/>
    </w:pPr>
    <w:rPr>
      <w:rFonts w:ascii="Arial" w:hAnsi="Arial"/>
      <w:b/>
      <w:sz w:val="24"/>
      <w:szCs w:val="20"/>
    </w:rPr>
  </w:style>
  <w:style w:type="paragraph" w:customStyle="1" w:styleId="Numero">
    <w:name w:val="Numero"/>
    <w:basedOn w:val="Normale"/>
    <w:rsid w:val="000F4585"/>
    <w:pPr>
      <w:spacing w:line="360" w:lineRule="atLeast"/>
    </w:pPr>
    <w:rPr>
      <w:rFonts w:ascii="Arial" w:hAnsi="Arial"/>
      <w:sz w:val="24"/>
      <w:szCs w:val="20"/>
    </w:rPr>
  </w:style>
  <w:style w:type="paragraph" w:customStyle="1" w:styleId="qual3">
    <w:name w:val="qual3"/>
    <w:basedOn w:val="Normale"/>
    <w:rsid w:val="000F4585"/>
    <w:pPr>
      <w:ind w:left="567"/>
    </w:pPr>
    <w:rPr>
      <w:rFonts w:ascii="Arial" w:hAnsi="Arial"/>
      <w:sz w:val="22"/>
      <w:szCs w:val="20"/>
    </w:rPr>
  </w:style>
  <w:style w:type="paragraph" w:customStyle="1" w:styleId="qual2">
    <w:name w:val="qual2"/>
    <w:basedOn w:val="Normale"/>
    <w:rsid w:val="000F4585"/>
    <w:pPr>
      <w:ind w:left="851" w:right="-2" w:hanging="850"/>
      <w:jc w:val="both"/>
    </w:pPr>
    <w:rPr>
      <w:rFonts w:ascii="Arial" w:hAnsi="Arial"/>
      <w:b/>
      <w:sz w:val="22"/>
      <w:szCs w:val="20"/>
      <w:lang w:val="en-US"/>
    </w:rPr>
  </w:style>
  <w:style w:type="paragraph" w:styleId="Testofumetto">
    <w:name w:val="Balloon Text"/>
    <w:basedOn w:val="Normale"/>
    <w:semiHidden/>
    <w:rsid w:val="00D9411D"/>
    <w:rPr>
      <w:rFonts w:ascii="Tahoma" w:hAnsi="Tahoma" w:cs="Tahoma"/>
      <w:sz w:val="16"/>
      <w:szCs w:val="16"/>
    </w:rPr>
  </w:style>
  <w:style w:type="character" w:customStyle="1" w:styleId="IntestazioneCarattere">
    <w:name w:val="Intestazione Carattere"/>
    <w:link w:val="Intestazione"/>
    <w:uiPriority w:val="99"/>
    <w:locked/>
    <w:rsid w:val="00465F2A"/>
    <w:rPr>
      <w:sz w:val="27"/>
      <w:szCs w:val="27"/>
    </w:rPr>
  </w:style>
  <w:style w:type="table" w:styleId="Grigliatabella">
    <w:name w:val="Table Grid"/>
    <w:basedOn w:val="Tabellanormale"/>
    <w:uiPriority w:val="59"/>
    <w:rsid w:val="00631C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99"/>
    <w:qFormat/>
    <w:rsid w:val="00797B53"/>
    <w:pPr>
      <w:ind w:left="720"/>
    </w:pPr>
    <w:rPr>
      <w:rFonts w:eastAsia="SimSun"/>
      <w:sz w:val="24"/>
      <w:szCs w:val="24"/>
    </w:rPr>
  </w:style>
  <w:style w:type="character" w:customStyle="1" w:styleId="Titolo7Carattere">
    <w:name w:val="Titolo 7 Carattere"/>
    <w:link w:val="Titolo7"/>
    <w:rsid w:val="00F70BB4"/>
    <w:rPr>
      <w:rFonts w:ascii="Arial" w:hAnsi="Arial" w:cs="Arial"/>
      <w:b/>
      <w:bCs/>
      <w:sz w:val="24"/>
      <w:u w:val="single"/>
    </w:rPr>
  </w:style>
  <w:style w:type="table" w:customStyle="1" w:styleId="Grigliatabella1">
    <w:name w:val="Griglia tabella1"/>
    <w:basedOn w:val="Tabellanormale"/>
    <w:next w:val="Grigliatabella"/>
    <w:uiPriority w:val="59"/>
    <w:rsid w:val="00F21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7"/>
      <w:szCs w:val="27"/>
    </w:rPr>
  </w:style>
  <w:style w:type="paragraph" w:styleId="Titolo1">
    <w:name w:val="heading 1"/>
    <w:basedOn w:val="Normale"/>
    <w:next w:val="Normale"/>
    <w:qFormat/>
    <w:pPr>
      <w:keepNext/>
      <w:outlineLvl w:val="0"/>
    </w:pPr>
    <w:rPr>
      <w:rFonts w:ascii="Tahoma" w:hAnsi="Tahoma" w:cs="Tahoma"/>
      <w:i/>
      <w:iCs/>
      <w:sz w:val="24"/>
    </w:rPr>
  </w:style>
  <w:style w:type="paragraph" w:styleId="Titolo2">
    <w:name w:val="heading 2"/>
    <w:basedOn w:val="Normale"/>
    <w:next w:val="Normale"/>
    <w:qFormat/>
    <w:pPr>
      <w:keepNext/>
      <w:tabs>
        <w:tab w:val="left" w:pos="1440"/>
      </w:tabs>
      <w:ind w:left="1440" w:hanging="1440"/>
      <w:outlineLvl w:val="1"/>
    </w:pPr>
    <w:rPr>
      <w:rFonts w:ascii="Tahoma" w:hAnsi="Tahoma" w:cs="Tahoma"/>
      <w:b/>
      <w:bCs/>
      <w:i/>
      <w:iCs/>
      <w:sz w:val="20"/>
    </w:rPr>
  </w:style>
  <w:style w:type="paragraph" w:styleId="Titolo3">
    <w:name w:val="heading 3"/>
    <w:basedOn w:val="Normale"/>
    <w:next w:val="Normale"/>
    <w:qFormat/>
    <w:pPr>
      <w:keepNext/>
      <w:tabs>
        <w:tab w:val="left" w:pos="1440"/>
      </w:tabs>
      <w:ind w:left="1440" w:hanging="1440"/>
      <w:outlineLvl w:val="2"/>
    </w:pPr>
    <w:rPr>
      <w:rFonts w:ascii="Tahoma" w:hAnsi="Tahoma" w:cs="Tahoma"/>
      <w:b/>
      <w:bCs/>
      <w:sz w:val="20"/>
    </w:rPr>
  </w:style>
  <w:style w:type="paragraph" w:styleId="Titolo4">
    <w:name w:val="heading 4"/>
    <w:basedOn w:val="Normale"/>
    <w:next w:val="Normale"/>
    <w:qFormat/>
    <w:pPr>
      <w:keepNext/>
      <w:tabs>
        <w:tab w:val="left" w:pos="1440"/>
      </w:tabs>
      <w:ind w:left="1440" w:hanging="1440"/>
      <w:outlineLvl w:val="3"/>
    </w:pPr>
    <w:rPr>
      <w:rFonts w:ascii="Tahoma" w:hAnsi="Tahoma" w:cs="Tahoma"/>
      <w:b/>
      <w:bCs/>
      <w:i/>
      <w:iCs/>
      <w:sz w:val="24"/>
    </w:rPr>
  </w:style>
  <w:style w:type="paragraph" w:styleId="Titolo5">
    <w:name w:val="heading 5"/>
    <w:basedOn w:val="Normale"/>
    <w:next w:val="Normale"/>
    <w:qFormat/>
    <w:pPr>
      <w:keepNext/>
      <w:outlineLvl w:val="4"/>
    </w:pPr>
    <w:rPr>
      <w:rFonts w:ascii="Tahoma" w:hAnsi="Tahoma" w:cs="Tahoma"/>
      <w:b/>
      <w:bCs/>
      <w:sz w:val="24"/>
    </w:rPr>
  </w:style>
  <w:style w:type="paragraph" w:styleId="Titolo6">
    <w:name w:val="heading 6"/>
    <w:basedOn w:val="Normale"/>
    <w:next w:val="Normale"/>
    <w:qFormat/>
    <w:pPr>
      <w:keepNext/>
      <w:jc w:val="both"/>
      <w:outlineLvl w:val="5"/>
    </w:pPr>
    <w:rPr>
      <w:rFonts w:ascii="Tahoma" w:hAnsi="Tahoma" w:cs="Tahoma"/>
      <w:b/>
      <w:bCs/>
      <w:sz w:val="20"/>
    </w:rPr>
  </w:style>
  <w:style w:type="paragraph" w:styleId="Titolo7">
    <w:name w:val="heading 7"/>
    <w:basedOn w:val="Normale"/>
    <w:next w:val="Normale"/>
    <w:link w:val="Titolo7Carattere"/>
    <w:qFormat/>
    <w:pPr>
      <w:keepNext/>
      <w:jc w:val="center"/>
      <w:outlineLvl w:val="6"/>
    </w:pPr>
    <w:rPr>
      <w:rFonts w:ascii="Arial" w:hAnsi="Arial" w:cs="Arial"/>
      <w:b/>
      <w:bCs/>
      <w:sz w:val="24"/>
      <w:szCs w:val="20"/>
      <w:u w:val="single"/>
    </w:rPr>
  </w:style>
  <w:style w:type="paragraph" w:styleId="Titolo8">
    <w:name w:val="heading 8"/>
    <w:basedOn w:val="Normale"/>
    <w:next w:val="Normale"/>
    <w:qFormat/>
    <w:pPr>
      <w:keepNext/>
      <w:outlineLvl w:val="7"/>
    </w:pPr>
    <w:rPr>
      <w:rFonts w:ascii="Arial" w:hAnsi="Arial" w:cs="Arial"/>
      <w:b/>
      <w:bCs/>
      <w:sz w:val="20"/>
    </w:rPr>
  </w:style>
  <w:style w:type="paragraph" w:styleId="Titolo9">
    <w:name w:val="heading 9"/>
    <w:basedOn w:val="Normale"/>
    <w:next w:val="Normale"/>
    <w:qFormat/>
    <w:pPr>
      <w:keepNext/>
      <w:spacing w:before="240" w:line="360" w:lineRule="auto"/>
      <w:jc w:val="center"/>
      <w:outlineLvl w:val="8"/>
    </w:pPr>
    <w:rPr>
      <w:rFonts w:ascii="Palatino Linotype" w:hAnsi="Palatino Linotype" w:cs="Arial"/>
      <w:color w:val="339966"/>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semiHidden/>
    <w:rPr>
      <w:rFonts w:ascii="Courier New" w:hAnsi="Courier New" w:cs="Courier New"/>
      <w:sz w:val="20"/>
      <w:szCs w:val="20"/>
    </w:rPr>
  </w:style>
  <w:style w:type="paragraph" w:styleId="Corpotesto">
    <w:name w:val="Body Text"/>
    <w:basedOn w:val="Normale"/>
    <w:semiHidden/>
    <w:pPr>
      <w:jc w:val="both"/>
    </w:pPr>
    <w:rPr>
      <w:rFonts w:ascii="Tahoma" w:hAnsi="Tahoma" w:cs="Tahoma"/>
      <w:b/>
      <w:bCs/>
      <w:i/>
      <w:iCs/>
      <w:sz w:val="20"/>
    </w:rPr>
  </w:style>
  <w:style w:type="paragraph" w:styleId="Titolo">
    <w:name w:val="Title"/>
    <w:basedOn w:val="Normale"/>
    <w:qFormat/>
    <w:pPr>
      <w:jc w:val="center"/>
    </w:pPr>
    <w:rPr>
      <w:rFonts w:ascii="Tahoma" w:hAnsi="Tahoma" w:cs="Tahoma"/>
      <w:b/>
      <w:bCs/>
      <w:sz w:val="48"/>
    </w:rPr>
  </w:style>
  <w:style w:type="paragraph" w:styleId="Sottotitolo">
    <w:name w:val="Subtitle"/>
    <w:basedOn w:val="Normale"/>
    <w:qFormat/>
    <w:pPr>
      <w:jc w:val="center"/>
    </w:pPr>
    <w:rPr>
      <w:rFonts w:ascii="Tahoma" w:hAnsi="Tahoma" w:cs="Tahoma"/>
      <w:sz w:val="36"/>
    </w:rPr>
  </w:style>
  <w:style w:type="paragraph" w:styleId="Intestazione">
    <w:name w:val="header"/>
    <w:basedOn w:val="Normale"/>
    <w:link w:val="IntestazioneCarattere"/>
    <w:uiPriority w:val="99"/>
    <w:pPr>
      <w:tabs>
        <w:tab w:val="center" w:pos="4819"/>
        <w:tab w:val="right" w:pos="9638"/>
      </w:tabs>
    </w:pPr>
    <w:rPr>
      <w:lang w:val="x-none" w:eastAsia="x-none"/>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Corpodeltesto2">
    <w:name w:val="Body Text 2"/>
    <w:basedOn w:val="Normale"/>
    <w:semiHidden/>
    <w:pPr>
      <w:jc w:val="center"/>
    </w:pPr>
    <w:rPr>
      <w:rFonts w:ascii="Arial" w:hAnsi="Arial" w:cs="Arial"/>
      <w:b/>
      <w:bCs/>
      <w:sz w:val="28"/>
      <w:szCs w:val="20"/>
    </w:rPr>
  </w:style>
  <w:style w:type="paragraph" w:styleId="NormaleWeb">
    <w:name w:val="Normal (Web)"/>
    <w:basedOn w:val="Normale"/>
    <w:semiHidden/>
    <w:pPr>
      <w:spacing w:before="100" w:beforeAutospacing="1" w:after="100" w:afterAutospacing="1"/>
    </w:pPr>
    <w:rPr>
      <w:sz w:val="24"/>
      <w:szCs w:val="24"/>
    </w:rPr>
  </w:style>
  <w:style w:type="character" w:styleId="Collegamentoipertestuale">
    <w:name w:val="Hyperlink"/>
    <w:semiHidden/>
    <w:rPr>
      <w:color w:val="0000FF"/>
      <w:u w:val="single"/>
    </w:rPr>
  </w:style>
  <w:style w:type="paragraph" w:styleId="Corpodeltesto3">
    <w:name w:val="Body Text 3"/>
    <w:basedOn w:val="Normale"/>
    <w:semiHidden/>
    <w:pPr>
      <w:autoSpaceDE w:val="0"/>
      <w:autoSpaceDN w:val="0"/>
      <w:adjustRightInd w:val="0"/>
      <w:jc w:val="both"/>
    </w:pPr>
    <w:rPr>
      <w:rFonts w:ascii="Tahoma" w:hAnsi="Tahoma" w:cs="Tahoma"/>
      <w:sz w:val="24"/>
    </w:rPr>
  </w:style>
  <w:style w:type="character" w:styleId="Numeropagina">
    <w:name w:val="page number"/>
    <w:basedOn w:val="Carpredefinitoparagrafo"/>
    <w:semiHidden/>
  </w:style>
  <w:style w:type="character" w:styleId="Collegamentovisitato">
    <w:name w:val="FollowedHyperlink"/>
    <w:semiHidden/>
    <w:rPr>
      <w:color w:val="800080"/>
      <w:u w:val="single"/>
    </w:rPr>
  </w:style>
  <w:style w:type="paragraph" w:styleId="Testonotaapidipagina">
    <w:name w:val="footnote text"/>
    <w:basedOn w:val="Normale"/>
    <w:semiHidden/>
    <w:rPr>
      <w:sz w:val="20"/>
      <w:szCs w:val="20"/>
    </w:rPr>
  </w:style>
  <w:style w:type="paragraph" w:customStyle="1" w:styleId="Default">
    <w:name w:val="Default"/>
    <w:pPr>
      <w:autoSpaceDE w:val="0"/>
      <w:autoSpaceDN w:val="0"/>
      <w:adjustRightInd w:val="0"/>
    </w:pPr>
    <w:rPr>
      <w:rFonts w:ascii="Calibri" w:hAnsi="Calibri"/>
      <w:color w:val="000000"/>
      <w:sz w:val="24"/>
      <w:szCs w:val="24"/>
    </w:rPr>
  </w:style>
  <w:style w:type="character" w:customStyle="1" w:styleId="PidipaginaCarattere">
    <w:name w:val="Piè di pagina Carattere"/>
    <w:link w:val="Pidipagina"/>
    <w:uiPriority w:val="99"/>
    <w:rsid w:val="00363565"/>
    <w:rPr>
      <w:sz w:val="27"/>
      <w:szCs w:val="27"/>
    </w:rPr>
  </w:style>
  <w:style w:type="paragraph" w:customStyle="1" w:styleId="titolo0">
    <w:name w:val="titolo"/>
    <w:basedOn w:val="Intestazione"/>
    <w:rsid w:val="000F4585"/>
    <w:pPr>
      <w:tabs>
        <w:tab w:val="clear" w:pos="4819"/>
        <w:tab w:val="clear" w:pos="9638"/>
        <w:tab w:val="center" w:pos="4252"/>
        <w:tab w:val="right" w:pos="8504"/>
      </w:tabs>
      <w:jc w:val="center"/>
    </w:pPr>
    <w:rPr>
      <w:rFonts w:ascii="Arial" w:hAnsi="Arial"/>
      <w:b/>
      <w:sz w:val="24"/>
      <w:szCs w:val="20"/>
    </w:rPr>
  </w:style>
  <w:style w:type="paragraph" w:customStyle="1" w:styleId="Numero">
    <w:name w:val="Numero"/>
    <w:basedOn w:val="Normale"/>
    <w:rsid w:val="000F4585"/>
    <w:pPr>
      <w:spacing w:line="360" w:lineRule="atLeast"/>
    </w:pPr>
    <w:rPr>
      <w:rFonts w:ascii="Arial" w:hAnsi="Arial"/>
      <w:sz w:val="24"/>
      <w:szCs w:val="20"/>
    </w:rPr>
  </w:style>
  <w:style w:type="paragraph" w:customStyle="1" w:styleId="qual3">
    <w:name w:val="qual3"/>
    <w:basedOn w:val="Normale"/>
    <w:rsid w:val="000F4585"/>
    <w:pPr>
      <w:ind w:left="567"/>
    </w:pPr>
    <w:rPr>
      <w:rFonts w:ascii="Arial" w:hAnsi="Arial"/>
      <w:sz w:val="22"/>
      <w:szCs w:val="20"/>
    </w:rPr>
  </w:style>
  <w:style w:type="paragraph" w:customStyle="1" w:styleId="qual2">
    <w:name w:val="qual2"/>
    <w:basedOn w:val="Normale"/>
    <w:rsid w:val="000F4585"/>
    <w:pPr>
      <w:ind w:left="851" w:right="-2" w:hanging="850"/>
      <w:jc w:val="both"/>
    </w:pPr>
    <w:rPr>
      <w:rFonts w:ascii="Arial" w:hAnsi="Arial"/>
      <w:b/>
      <w:sz w:val="22"/>
      <w:szCs w:val="20"/>
      <w:lang w:val="en-US"/>
    </w:rPr>
  </w:style>
  <w:style w:type="paragraph" w:styleId="Testofumetto">
    <w:name w:val="Balloon Text"/>
    <w:basedOn w:val="Normale"/>
    <w:semiHidden/>
    <w:rsid w:val="00D9411D"/>
    <w:rPr>
      <w:rFonts w:ascii="Tahoma" w:hAnsi="Tahoma" w:cs="Tahoma"/>
      <w:sz w:val="16"/>
      <w:szCs w:val="16"/>
    </w:rPr>
  </w:style>
  <w:style w:type="character" w:customStyle="1" w:styleId="IntestazioneCarattere">
    <w:name w:val="Intestazione Carattere"/>
    <w:link w:val="Intestazione"/>
    <w:uiPriority w:val="99"/>
    <w:locked/>
    <w:rsid w:val="00465F2A"/>
    <w:rPr>
      <w:sz w:val="27"/>
      <w:szCs w:val="27"/>
    </w:rPr>
  </w:style>
  <w:style w:type="table" w:styleId="Grigliatabella">
    <w:name w:val="Table Grid"/>
    <w:basedOn w:val="Tabellanormale"/>
    <w:uiPriority w:val="59"/>
    <w:rsid w:val="00631C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99"/>
    <w:qFormat/>
    <w:rsid w:val="00797B53"/>
    <w:pPr>
      <w:ind w:left="720"/>
    </w:pPr>
    <w:rPr>
      <w:rFonts w:eastAsia="SimSun"/>
      <w:sz w:val="24"/>
      <w:szCs w:val="24"/>
    </w:rPr>
  </w:style>
  <w:style w:type="character" w:customStyle="1" w:styleId="Titolo7Carattere">
    <w:name w:val="Titolo 7 Carattere"/>
    <w:link w:val="Titolo7"/>
    <w:rsid w:val="00F70BB4"/>
    <w:rPr>
      <w:rFonts w:ascii="Arial" w:hAnsi="Arial" w:cs="Arial"/>
      <w:b/>
      <w:bCs/>
      <w:sz w:val="24"/>
      <w:u w:val="single"/>
    </w:rPr>
  </w:style>
  <w:style w:type="table" w:customStyle="1" w:styleId="Grigliatabella1">
    <w:name w:val="Griglia tabella1"/>
    <w:basedOn w:val="Tabellanormale"/>
    <w:next w:val="Grigliatabella"/>
    <w:uiPriority w:val="59"/>
    <w:rsid w:val="00F21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53656">
      <w:bodyDiv w:val="1"/>
      <w:marLeft w:val="0"/>
      <w:marRight w:val="0"/>
      <w:marTop w:val="0"/>
      <w:marBottom w:val="0"/>
      <w:divBdr>
        <w:top w:val="none" w:sz="0" w:space="0" w:color="auto"/>
        <w:left w:val="none" w:sz="0" w:space="0" w:color="auto"/>
        <w:bottom w:val="none" w:sz="0" w:space="0" w:color="auto"/>
        <w:right w:val="none" w:sz="0" w:space="0" w:color="auto"/>
      </w:divBdr>
    </w:div>
    <w:div w:id="137739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76E84-2F05-4277-B8CC-DE5062338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1477</Words>
  <Characters>8843</Characters>
  <Application>Microsoft Office Word</Application>
  <DocSecurity>4</DocSecurity>
  <Lines>73</Lines>
  <Paragraphs>20</Paragraphs>
  <ScaleCrop>false</ScaleCrop>
  <HeadingPairs>
    <vt:vector size="2" baseType="variant">
      <vt:variant>
        <vt:lpstr>Titolo</vt:lpstr>
      </vt:variant>
      <vt:variant>
        <vt:i4>1</vt:i4>
      </vt:variant>
    </vt:vector>
  </HeadingPairs>
  <TitlesOfParts>
    <vt:vector size="1" baseType="lpstr">
      <vt:lpstr>Documenti SGD</vt:lpstr>
    </vt:vector>
  </TitlesOfParts>
  <Company>IREF</Company>
  <LinksUpToDate>false</LinksUpToDate>
  <CharactersWithSpaces>10300</CharactersWithSpaces>
  <SharedDoc>false</SharedDoc>
  <HLinks>
    <vt:vector size="12" baseType="variant">
      <vt:variant>
        <vt:i4>4653145</vt:i4>
      </vt:variant>
      <vt:variant>
        <vt:i4>3</vt:i4>
      </vt:variant>
      <vt:variant>
        <vt:i4>0</vt:i4>
      </vt:variant>
      <vt:variant>
        <vt:i4>5</vt:i4>
      </vt:variant>
      <vt:variant>
        <vt:lpwstr>mailto:pec@pecats_milano.it</vt:lpwstr>
      </vt:variant>
      <vt:variant>
        <vt:lpwstr/>
      </vt:variant>
      <vt:variant>
        <vt:i4>539041855</vt:i4>
      </vt:variant>
      <vt:variant>
        <vt:i4>0</vt:i4>
      </vt:variant>
      <vt:variant>
        <vt:i4>0</vt:i4>
      </vt:variant>
      <vt:variant>
        <vt:i4>5</vt:i4>
      </vt:variant>
      <vt:variant>
        <vt:lpwstr>mailto:……@ats_milano.it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Documenti SGD</dc:title>
  <dc:creator>Qualita</dc:creator>
  <cp:lastModifiedBy>Giusiana Uslenghi</cp:lastModifiedBy>
  <cp:revision>2</cp:revision>
  <cp:lastPrinted>2020-08-31T10:28:00Z</cp:lastPrinted>
  <dcterms:created xsi:type="dcterms:W3CDTF">2021-04-23T14:41:00Z</dcterms:created>
  <dcterms:modified xsi:type="dcterms:W3CDTF">2021-04-23T14:41:00Z</dcterms:modified>
</cp:coreProperties>
</file>