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FB7232"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26903362"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DD430E" w:rsidRDefault="00DD430E" w:rsidP="00DD430E">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80 del 7.10.2022</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.109</w:t>
      </w:r>
    </w:p>
    <w:p w:rsidR="00DD430E" w:rsidRPr="00172455" w:rsidRDefault="00DD430E" w:rsidP="00DD430E">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FB7232">
        <w:rPr>
          <w:rFonts w:ascii="Times New Roman" w:hAnsi="Times New Roman"/>
          <w:sz w:val="20"/>
        </w:rPr>
        <w:t>45827/10.10.2022</w:t>
      </w:r>
      <w:bookmarkStart w:id="0" w:name="_GoBack"/>
      <w:bookmarkEnd w:id="0"/>
    </w:p>
    <w:p w:rsidR="00DD430E" w:rsidRDefault="00DD430E" w:rsidP="00DD430E">
      <w:pPr>
        <w:pStyle w:val="Titolo"/>
        <w:ind w:right="0"/>
        <w:rPr>
          <w:rFonts w:ascii="Times New Roman" w:hAnsi="Times New Roman"/>
          <w:sz w:val="36"/>
          <w:szCs w:val="36"/>
          <w:u w:val="double"/>
        </w:rPr>
      </w:pPr>
    </w:p>
    <w:p w:rsidR="00DD430E" w:rsidRPr="00C16DFB" w:rsidRDefault="00DD430E" w:rsidP="00DD430E">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7 NOVEMBRE 2022</w:t>
      </w:r>
    </w:p>
    <w:p w:rsidR="00DD430E" w:rsidRDefault="00DD430E" w:rsidP="00DD430E">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7A32F6" w:rsidRPr="002224FB" w:rsidRDefault="007A32F6"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EE0CD7">
        <w:rPr>
          <w:rFonts w:ascii="Arial" w:hAnsi="Arial" w:cs="Arial"/>
          <w:sz w:val="22"/>
          <w:szCs w:val="22"/>
        </w:rPr>
        <w:t>756</w:t>
      </w:r>
      <w:r w:rsidR="004860D7" w:rsidRPr="002224FB">
        <w:rPr>
          <w:rFonts w:ascii="Arial" w:hAnsi="Arial" w:cs="Arial"/>
          <w:sz w:val="22"/>
          <w:szCs w:val="22"/>
        </w:rPr>
        <w:t xml:space="preserve"> </w:t>
      </w:r>
      <w:r w:rsidR="00820CC2" w:rsidRPr="002224FB">
        <w:rPr>
          <w:rFonts w:ascii="Arial" w:hAnsi="Arial" w:cs="Arial"/>
          <w:sz w:val="22"/>
          <w:szCs w:val="22"/>
        </w:rPr>
        <w:t>del</w:t>
      </w:r>
      <w:r w:rsidR="004860D7" w:rsidRPr="002224FB">
        <w:rPr>
          <w:rFonts w:ascii="Arial" w:hAnsi="Arial" w:cs="Arial"/>
          <w:sz w:val="22"/>
          <w:szCs w:val="22"/>
        </w:rPr>
        <w:t xml:space="preserve"> </w:t>
      </w:r>
      <w:r w:rsidR="00EE0CD7">
        <w:rPr>
          <w:rFonts w:ascii="Arial" w:hAnsi="Arial" w:cs="Arial"/>
          <w:sz w:val="22"/>
          <w:szCs w:val="22"/>
        </w:rPr>
        <w:t>18.8.2022</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1059AB">
        <w:rPr>
          <w:rFonts w:ascii="Arial" w:hAnsi="Arial" w:cs="Arial"/>
          <w:sz w:val="22"/>
          <w:szCs w:val="22"/>
        </w:rPr>
        <w:t>i</w:t>
      </w:r>
      <w:r w:rsidR="00291602">
        <w:rPr>
          <w:rFonts w:ascii="Arial" w:hAnsi="Arial" w:cs="Arial"/>
          <w:sz w:val="22"/>
          <w:szCs w:val="22"/>
        </w:rPr>
        <w:t xml:space="preserve"> </w:t>
      </w:r>
      <w:r>
        <w:rPr>
          <w:rFonts w:ascii="Arial" w:hAnsi="Arial" w:cs="Arial"/>
          <w:sz w:val="22"/>
          <w:szCs w:val="22"/>
        </w:rPr>
        <w:t>seguent</w:t>
      </w:r>
      <w:r w:rsidR="001059AB">
        <w:rPr>
          <w:rFonts w:ascii="Arial" w:hAnsi="Arial" w:cs="Arial"/>
          <w:sz w:val="22"/>
          <w:szCs w:val="22"/>
        </w:rPr>
        <w:t>i</w:t>
      </w:r>
      <w:r>
        <w:rPr>
          <w:rFonts w:ascii="Arial" w:hAnsi="Arial" w:cs="Arial"/>
          <w:sz w:val="22"/>
          <w:szCs w:val="22"/>
        </w:rPr>
        <w:t xml:space="preserve"> post</w:t>
      </w:r>
      <w:r w:rsidR="001059AB">
        <w:rPr>
          <w:rFonts w:ascii="Arial" w:hAnsi="Arial" w:cs="Arial"/>
          <w:sz w:val="22"/>
          <w:szCs w:val="22"/>
        </w:rPr>
        <w:t>i</w:t>
      </w:r>
      <w:r w:rsidR="004935B2">
        <w:rPr>
          <w:rFonts w:ascii="Arial" w:hAnsi="Arial" w:cs="Arial"/>
          <w:sz w:val="22"/>
          <w:szCs w:val="22"/>
        </w:rPr>
        <w:t>:</w:t>
      </w:r>
    </w:p>
    <w:p w:rsidR="00F23EAD" w:rsidRDefault="00F23EA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1059AB">
        <w:rPr>
          <w:rFonts w:ascii="Arial" w:hAnsi="Arial" w:cs="Arial"/>
          <w:b/>
          <w:sz w:val="24"/>
          <w:szCs w:val="24"/>
        </w:rPr>
        <w:t>4</w:t>
      </w:r>
      <w:r w:rsidR="00F23EAD">
        <w:rPr>
          <w:rFonts w:ascii="Arial" w:hAnsi="Arial" w:cs="Arial"/>
          <w:b/>
          <w:sz w:val="24"/>
          <w:szCs w:val="24"/>
        </w:rPr>
        <w:t xml:space="preserve"> post</w:t>
      </w:r>
      <w:r w:rsidR="001059AB">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Pr>
          <w:rFonts w:ascii="Arial" w:hAnsi="Arial" w:cs="Arial"/>
          <w:b/>
          <w:sz w:val="24"/>
          <w:szCs w:val="24"/>
        </w:rPr>
        <w:t>:</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1059AB">
        <w:rPr>
          <w:rFonts w:ascii="Arial" w:hAnsi="Arial" w:cs="Arial"/>
          <w:b/>
          <w:sz w:val="24"/>
          <w:szCs w:val="24"/>
        </w:rPr>
        <w:t>PEDIATRIA</w:t>
      </w: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Pr>
          <w:rFonts w:ascii="Arial" w:hAnsi="Arial" w:cs="Arial"/>
          <w:sz w:val="22"/>
        </w:rPr>
        <w:t xml:space="preserve"> vincitor</w:t>
      </w:r>
      <w:r w:rsidR="00216DAA">
        <w:rPr>
          <w:rFonts w:ascii="Arial" w:hAnsi="Arial" w:cs="Arial"/>
          <w:sz w:val="22"/>
        </w:rPr>
        <w:t>i</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cittadinanza di uno Stato membro dell’Unio</w:t>
      </w:r>
      <w:r w:rsidRPr="006448C7">
        <w:rPr>
          <w:rFonts w:ascii="Arial" w:hAnsi="Arial" w:cs="Arial"/>
          <w:sz w:val="22"/>
          <w:szCs w:val="22"/>
        </w:rPr>
        <w:softHyphen/>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w:t>
      </w:r>
      <w:r w:rsidRPr="006448C7">
        <w:rPr>
          <w:rFonts w:ascii="Arial" w:hAnsi="Arial" w:cs="Arial"/>
          <w:sz w:val="22"/>
          <w:szCs w:val="22"/>
        </w:rPr>
        <w:softHyphen/>
        <w:t>ri del permesso di soggiorno CE per soggiornanti di lun</w:t>
      </w:r>
      <w:r w:rsidRPr="006448C7">
        <w:rPr>
          <w:rFonts w:ascii="Arial" w:hAnsi="Arial" w:cs="Arial"/>
          <w:sz w:val="22"/>
          <w:szCs w:val="22"/>
        </w:rPr>
        <w:softHyphen/>
        <w:t xml:space="preserve">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lastRenderedPageBreak/>
        <w:t>Sono considerati familiari, secondo la Direttiva Comunitaria n. 2004/28/CE, il coniuge del migrante, i discendenti diretti di età inferiore a 21 anni a carico e quelli del coniuge, gli ascen</w:t>
      </w:r>
      <w:r w:rsidRPr="002224FB">
        <w:rPr>
          <w:rFonts w:ascii="Arial" w:hAnsi="Arial" w:cs="Arial"/>
          <w:sz w:val="22"/>
          <w:szCs w:val="22"/>
        </w:rPr>
        <w:softHyphen/>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Esaminatrice accerterà l’adeguata conoscen</w:t>
      </w:r>
      <w:r w:rsidRPr="002224FB">
        <w:rPr>
          <w:rFonts w:ascii="Arial" w:hAnsi="Arial" w:cs="Arial"/>
          <w:sz w:val="22"/>
          <w:szCs w:val="22"/>
        </w:rPr>
        <w:softHyphen/>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A22205" w:rsidRDefault="00234B00"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7A32F6" w:rsidRDefault="007A32F6"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sidR="001059AB">
        <w:rPr>
          <w:rFonts w:ascii="Arial" w:hAnsi="Arial" w:cs="Arial"/>
          <w:b/>
          <w:sz w:val="22"/>
          <w:szCs w:val="22"/>
        </w:rPr>
        <w:t>Pediatria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i medici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lastRenderedPageBreak/>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6E368B" w:rsidRPr="002224FB" w:rsidRDefault="006E368B"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BD5579" w:rsidRDefault="00BD5579" w:rsidP="0043256E">
      <w:pPr>
        <w:ind w:left="567"/>
        <w:jc w:val="both"/>
        <w:rPr>
          <w:rFonts w:ascii="Arial" w:hAnsi="Arial" w:cs="Arial"/>
          <w:b/>
          <w:sz w:val="22"/>
          <w:szCs w:val="22"/>
        </w:rPr>
      </w:pP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lastRenderedPageBreak/>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1E724D">
        <w:rPr>
          <w:rFonts w:ascii="Arial" w:hAnsi="Arial" w:cs="Arial"/>
          <w:sz w:val="22"/>
          <w:szCs w:val="22"/>
        </w:rPr>
        <w:t>4</w:t>
      </w:r>
      <w:r w:rsidR="00A22205">
        <w:rPr>
          <w:rFonts w:ascii="Arial" w:hAnsi="Arial" w:cs="Arial"/>
          <w:sz w:val="22"/>
          <w:szCs w:val="22"/>
        </w:rPr>
        <w:t xml:space="preserve"> </w:t>
      </w:r>
      <w:r w:rsidR="00F21C12">
        <w:rPr>
          <w:rFonts w:ascii="Arial" w:hAnsi="Arial" w:cs="Arial"/>
          <w:sz w:val="22"/>
          <w:szCs w:val="22"/>
        </w:rPr>
        <w:t>post</w:t>
      </w:r>
      <w:r w:rsidR="001E724D">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785781">
        <w:rPr>
          <w:rFonts w:ascii="Arial" w:hAnsi="Arial" w:cs="Arial"/>
          <w:sz w:val="22"/>
          <w:szCs w:val="22"/>
        </w:rPr>
        <w:t xml:space="preserve">medica </w:t>
      </w:r>
      <w:r w:rsidR="00636A97">
        <w:rPr>
          <w:rFonts w:ascii="Arial" w:hAnsi="Arial" w:cs="Arial"/>
          <w:sz w:val="22"/>
          <w:szCs w:val="22"/>
        </w:rPr>
        <w:t xml:space="preserve">e delle specialità </w:t>
      </w:r>
      <w:r w:rsidR="00785781">
        <w:rPr>
          <w:rFonts w:ascii="Arial" w:hAnsi="Arial" w:cs="Arial"/>
          <w:sz w:val="22"/>
          <w:szCs w:val="22"/>
        </w:rPr>
        <w:t xml:space="preserve">mediche </w:t>
      </w:r>
      <w:r w:rsidR="00F21C12">
        <w:rPr>
          <w:rFonts w:ascii="Arial" w:hAnsi="Arial" w:cs="Arial"/>
          <w:sz w:val="22"/>
          <w:szCs w:val="22"/>
        </w:rPr>
        <w:t xml:space="preserve">– disciplina di </w:t>
      </w:r>
      <w:r w:rsidR="001E724D">
        <w:rPr>
          <w:rFonts w:ascii="Arial" w:hAnsi="Arial" w:cs="Arial"/>
          <w:sz w:val="22"/>
          <w:szCs w:val="22"/>
        </w:rPr>
        <w:t>Pediatria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Proseguire con la compilazione delle ulteriori pagine di cui si compone in format, il cui elenco è disposto sul lato sinistro dello schermo, e che via via che vengono compilate, risultano spuntate in verde, con riportato al lato il numero delle dichiarazioni rese. Le stesse possono </w:t>
      </w:r>
      <w:r w:rsidRPr="005A2D01">
        <w:rPr>
          <w:rFonts w:ascii="Arial" w:hAnsi="Arial" w:cs="Arial"/>
          <w:sz w:val="22"/>
          <w:szCs w:val="22"/>
        </w:rPr>
        <w:lastRenderedPageBreak/>
        <w:t>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FB7232" w:rsidP="003D319E">
      <w:pPr>
        <w:pStyle w:val="Corpotesto"/>
        <w:overflowPunct/>
        <w:autoSpaceDE/>
        <w:autoSpaceDN/>
        <w:adjustRightInd/>
        <w:ind w:left="927"/>
        <w:jc w:val="both"/>
        <w:textAlignment w:val="auto"/>
        <w:rPr>
          <w:rFonts w:ascii="Arial" w:hAnsi="Arial" w:cs="Arial"/>
          <w:sz w:val="22"/>
          <w:szCs w:val="22"/>
        </w:rPr>
      </w:pPr>
      <w:hyperlink r:id="rId11"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0C706E">
        <w:rPr>
          <w:rFonts w:ascii="Arial" w:hAnsi="Arial" w:cs="Arial"/>
          <w:sz w:val="22"/>
          <w:szCs w:val="22"/>
        </w:rPr>
        <w:t>4</w:t>
      </w:r>
      <w:r>
        <w:rPr>
          <w:rFonts w:ascii="Arial" w:hAnsi="Arial" w:cs="Arial"/>
          <w:sz w:val="22"/>
          <w:szCs w:val="22"/>
        </w:rPr>
        <w:t xml:space="preserve"> post</w:t>
      </w:r>
      <w:r w:rsidR="000C706E">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0C706E">
        <w:rPr>
          <w:rFonts w:ascii="Arial" w:hAnsi="Arial" w:cs="Arial"/>
          <w:sz w:val="22"/>
          <w:szCs w:val="22"/>
        </w:rPr>
        <w:t>Pediatria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lastRenderedPageBreak/>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B60CD1" w:rsidRDefault="00461D3E" w:rsidP="00461D3E">
      <w:pPr>
        <w:pStyle w:val="Corpotesto"/>
        <w:overflowPunct/>
        <w:autoSpaceDE/>
        <w:autoSpaceDN/>
        <w:adjustRightInd/>
        <w:ind w:left="927"/>
        <w:jc w:val="both"/>
        <w:textAlignment w:val="auto"/>
        <w:rPr>
          <w:rFonts w:ascii="Arial" w:hAnsi="Arial" w:cs="Arial"/>
          <w:b/>
          <w:sz w:val="22"/>
          <w:szCs w:val="22"/>
        </w:rPr>
      </w:pPr>
      <w:r w:rsidRPr="00B60CD1">
        <w:rPr>
          <w:rFonts w:ascii="Arial" w:hAnsi="Arial" w:cs="Arial"/>
          <w:b/>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9754C">
      <w:pPr>
        <w:pStyle w:val="Corpotesto"/>
        <w:numPr>
          <w:ilvl w:val="0"/>
          <w:numId w:val="19"/>
        </w:numPr>
        <w:overflowPunct/>
        <w:autoSpaceDE/>
        <w:autoSpaceDN/>
        <w:adjustRightInd/>
        <w:ind w:left="993" w:hanging="426"/>
        <w:jc w:val="both"/>
        <w:textAlignment w:val="auto"/>
        <w:rPr>
          <w:rFonts w:ascii="Arial" w:hAnsi="Arial" w:cs="Arial"/>
          <w:sz w:val="22"/>
          <w:szCs w:val="22"/>
        </w:rPr>
      </w:pPr>
      <w:r w:rsidRPr="008D42C7">
        <w:rPr>
          <w:rFonts w:ascii="Arial" w:hAnsi="Arial" w:cs="Arial"/>
          <w:sz w:val="22"/>
          <w:szCs w:val="22"/>
        </w:rPr>
        <w:lastRenderedPageBreak/>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3E2081" w:rsidRPr="003E2081" w:rsidRDefault="003E2081" w:rsidP="003E2081">
      <w:pPr>
        <w:pStyle w:val="Corpo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A40DB" w:rsidRDefault="007A40DB" w:rsidP="00F21C12">
      <w:pPr>
        <w:widowControl w:val="0"/>
        <w:jc w:val="both"/>
        <w:rPr>
          <w:rFonts w:ascii="Arial" w:hAnsi="Arial" w:cs="Arial"/>
          <w:sz w:val="22"/>
        </w:rPr>
      </w:pP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Default="007B5EEE" w:rsidP="007B5EEE">
      <w:pPr>
        <w:tabs>
          <w:tab w:val="left" w:pos="9923"/>
        </w:tabs>
        <w:ind w:left="567"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B9754C" w:rsidRPr="00F21C12" w:rsidRDefault="00B9754C" w:rsidP="00B9754C">
      <w:pPr>
        <w:ind w:left="567"/>
        <w:jc w:val="both"/>
        <w:rPr>
          <w:rFonts w:ascii="Arial" w:hAnsi="Arial" w:cs="Arial"/>
          <w:sz w:val="22"/>
        </w:rPr>
      </w:pPr>
      <w:r>
        <w:rPr>
          <w:rFonts w:ascii="Arial" w:hAnsi="Arial" w:cs="Arial"/>
          <w:sz w:val="22"/>
        </w:rPr>
        <w:lastRenderedPageBreak/>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B9754C" w:rsidRDefault="00B9754C" w:rsidP="00B9754C">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su tecniche e manualità peculiari della disciplina; la prova pratica deve comunque essere anche illustrata schematicamente per iscritto;</w:t>
      </w:r>
    </w:p>
    <w:p w:rsidR="00B9754C" w:rsidRPr="00F21C12" w:rsidRDefault="00B9754C" w:rsidP="00B9754C">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7A32F6" w:rsidRPr="001B5D94"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 così come modificata e integrata dalla Legge 8/2020.</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Tali graduatorie saranno formulate secondo l’ordine dei punteggi conseguiti dagli stessi per i titoli e per le singole prove d’esame. A parità di punteggio si terrà conto </w:t>
      </w:r>
      <w:proofErr w:type="gramStart"/>
      <w:r>
        <w:rPr>
          <w:rFonts w:ascii="Arial" w:hAnsi="Arial" w:cs="Arial"/>
          <w:sz w:val="22"/>
          <w:szCs w:val="22"/>
        </w:rPr>
        <w:t xml:space="preserve">degli </w:t>
      </w:r>
      <w:r w:rsidRPr="00A26E89">
        <w:rPr>
          <w:rFonts w:ascii="Arial" w:hAnsi="Arial" w:cs="Arial"/>
          <w:sz w:val="22"/>
          <w:szCs w:val="22"/>
        </w:rPr>
        <w:t xml:space="preserve"> eventuali</w:t>
      </w:r>
      <w:proofErr w:type="gramEnd"/>
      <w:r w:rsidRPr="00A26E89">
        <w:rPr>
          <w:rFonts w:ascii="Arial" w:hAnsi="Arial" w:cs="Arial"/>
          <w:sz w:val="22"/>
          <w:szCs w:val="22"/>
        </w:rPr>
        <w:t xml:space="preserve"> titoli che danno diritto alla preferenza, previsti dall’articolo 5 del D.P.R. n. 487/1994, purché espressamente dichiarati nella domanda di ammissione al concorso. </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Pr="00F80433" w:rsidRDefault="00C61AB5" w:rsidP="00C61AB5">
      <w:pPr>
        <w:widowControl w:val="0"/>
        <w:tabs>
          <w:tab w:val="left" w:pos="9923"/>
        </w:tabs>
        <w:ind w:left="567"/>
        <w:jc w:val="both"/>
        <w:rPr>
          <w:rFonts w:ascii="Arial" w:hAnsi="Arial" w:cs="Arial"/>
          <w:b/>
          <w:sz w:val="22"/>
          <w:szCs w:val="22"/>
        </w:rPr>
      </w:pPr>
      <w:r w:rsidRPr="00F80433">
        <w:rPr>
          <w:rFonts w:ascii="Arial" w:hAnsi="Arial" w:cs="Arial"/>
          <w:b/>
          <w:sz w:val="22"/>
        </w:rPr>
        <w:t xml:space="preserve">L’intera procedura si svolgerà nel rispetto della </w:t>
      </w:r>
      <w:r w:rsidRPr="00F80433">
        <w:rPr>
          <w:rFonts w:ascii="Arial" w:hAnsi="Arial" w:cs="Arial"/>
          <w:b/>
          <w:sz w:val="22"/>
          <w:szCs w:val="22"/>
        </w:rPr>
        <w:t>normativa vigente</w:t>
      </w:r>
      <w:r>
        <w:rPr>
          <w:rFonts w:ascii="Arial" w:hAnsi="Arial" w:cs="Arial"/>
          <w:b/>
          <w:sz w:val="22"/>
          <w:szCs w:val="22"/>
        </w:rPr>
        <w:t xml:space="preserve">, alla data di espletamento delle prove concorsuali, </w:t>
      </w:r>
      <w:r w:rsidRPr="00F80433">
        <w:rPr>
          <w:rFonts w:ascii="Arial" w:hAnsi="Arial" w:cs="Arial"/>
          <w:b/>
          <w:sz w:val="22"/>
          <w:szCs w:val="22"/>
        </w:rPr>
        <w:t xml:space="preserve">in materia </w:t>
      </w:r>
      <w:proofErr w:type="gramStart"/>
      <w:r w:rsidRPr="00F80433">
        <w:rPr>
          <w:rFonts w:ascii="Arial" w:hAnsi="Arial" w:cs="Arial"/>
          <w:b/>
          <w:sz w:val="22"/>
          <w:szCs w:val="22"/>
        </w:rPr>
        <w:t>di  contrasto</w:t>
      </w:r>
      <w:proofErr w:type="gramEnd"/>
      <w:r w:rsidRPr="00F80433">
        <w:rPr>
          <w:rFonts w:ascii="Arial" w:hAnsi="Arial" w:cs="Arial"/>
          <w:b/>
          <w:sz w:val="22"/>
          <w:szCs w:val="22"/>
        </w:rPr>
        <w:t xml:space="preserve"> e contenimento della diffusione del virus Covid-19 e pertanto con i calendari relativi alle prove d’esame saranno comunicate le prescrizioni e raccomandazioni cui i candidati e la Commissione dovranno attenersi.</w:t>
      </w:r>
    </w:p>
    <w:p w:rsidR="007A32F6"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w:t>
      </w:r>
      <w:r>
        <w:rPr>
          <w:rFonts w:ascii="Arial" w:hAnsi="Arial" w:cs="Arial"/>
          <w:sz w:val="22"/>
          <w:szCs w:val="22"/>
        </w:rPr>
        <w:lastRenderedPageBreak/>
        <w:t>– Busto Arsizio – presso la Struttura Complessa 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C61AB5" w:rsidRDefault="00C61AB5" w:rsidP="00C61AB5">
      <w:pPr>
        <w:tabs>
          <w:tab w:val="left" w:pos="9923"/>
        </w:tabs>
        <w:ind w:left="567"/>
        <w:jc w:val="both"/>
        <w:rPr>
          <w:rFonts w:ascii="Arial" w:hAnsi="Arial" w:cs="Arial"/>
          <w:sz w:val="22"/>
          <w:szCs w:val="22"/>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Ai posti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vincitori del concorso saranno sottoposti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 nominati vincitori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dell’art.4, comma 1, del D.L. 44/2021 - </w:t>
      </w:r>
      <w:r w:rsidRPr="00D26B53">
        <w:rPr>
          <w:rFonts w:ascii="Arial" w:hAnsi="Arial" w:cs="Arial"/>
          <w:sz w:val="22"/>
          <w:szCs w:val="22"/>
        </w:rPr>
        <w:t>convertito con modificazioni in L. 28.5.2021 n. 76</w:t>
      </w:r>
      <w:r>
        <w:rPr>
          <w:rFonts w:ascii="Arial" w:hAnsi="Arial" w:cs="Arial"/>
          <w:sz w:val="22"/>
          <w:szCs w:val="22"/>
        </w:rPr>
        <w:t xml:space="preserve"> - è statuito l’obbligo di vaccinazione anti SARS-CoV-2 per gli Esercenti la professione sanitaria e per gli Operatori di interesse sanitario, in considerazione del fatto che la vaccinazione si configura quale requisito essenziale per l’esercizio della professione e per le prestazioni che dovranno essere rese da coloro nei confronti dei quali opera l’obbligo di vaccinazione.  </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23/</w:t>
      </w:r>
      <w:proofErr w:type="gramStart"/>
      <w:r>
        <w:rPr>
          <w:rFonts w:ascii="Arial" w:hAnsi="Arial" w:cs="Arial"/>
          <w:sz w:val="22"/>
          <w:szCs w:val="22"/>
        </w:rPr>
        <w:t>2015  e</w:t>
      </w:r>
      <w:proofErr w:type="gramEnd"/>
      <w:r>
        <w:rPr>
          <w:rFonts w:ascii="Arial" w:hAnsi="Arial" w:cs="Arial"/>
          <w:sz w:val="22"/>
          <w:szCs w:val="22"/>
        </w:rPr>
        <w:t xml:space="preserve"> </w:t>
      </w:r>
      <w:proofErr w:type="spellStart"/>
      <w:r>
        <w:rPr>
          <w:rFonts w:ascii="Arial" w:hAnsi="Arial" w:cs="Arial"/>
          <w:sz w:val="22"/>
          <w:szCs w:val="22"/>
        </w:rPr>
        <w:t>s.m.i.</w:t>
      </w:r>
      <w:proofErr w:type="spellEnd"/>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 xml:space="preserve"> </w:t>
      </w:r>
      <w:r>
        <w:rPr>
          <w:rFonts w:ascii="Arial" w:hAnsi="Arial" w:cs="Arial"/>
          <w:b/>
          <w:sz w:val="24"/>
          <w:szCs w:val="24"/>
          <w:u w:val="single"/>
        </w:rPr>
        <w:t>RITIRO DOCUMENTI E PUBBLICAZIONI</w:t>
      </w:r>
      <w:r>
        <w:rPr>
          <w:rFonts w:ascii="Arial" w:hAnsi="Arial" w:cs="Arial"/>
          <w:sz w:val="22"/>
          <w:szCs w:val="22"/>
        </w:rPr>
        <w:t xml:space="preserve"> </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7B4005" w:rsidRDefault="00C61AB5" w:rsidP="00C61AB5">
      <w:pPr>
        <w:tabs>
          <w:tab w:val="left" w:pos="993"/>
          <w:tab w:val="left" w:pos="9923"/>
        </w:tabs>
        <w:ind w:left="567"/>
        <w:jc w:val="both"/>
        <w:rPr>
          <w:rFonts w:ascii="Arial" w:hAnsi="Arial" w:cs="Arial"/>
          <w:sz w:val="22"/>
          <w:szCs w:val="22"/>
        </w:rPr>
      </w:pPr>
      <w:r w:rsidRPr="007B4005">
        <w:rPr>
          <w:rFonts w:ascii="Arial" w:hAnsi="Arial" w:cs="Arial"/>
          <w:sz w:val="22"/>
          <w:szCs w:val="22"/>
        </w:rPr>
        <w:lastRenderedPageBreak/>
        <w:t xml:space="preserve">I candidati dovranno provvedere, a loro spese, al ritiro di </w:t>
      </w:r>
      <w:r>
        <w:rPr>
          <w:rFonts w:ascii="Arial" w:hAnsi="Arial" w:cs="Arial"/>
          <w:sz w:val="22"/>
          <w:szCs w:val="22"/>
        </w:rPr>
        <w:t xml:space="preserve">eventuali </w:t>
      </w:r>
      <w:r w:rsidRPr="007B4005">
        <w:rPr>
          <w:rFonts w:ascii="Arial" w:hAnsi="Arial" w:cs="Arial"/>
          <w:sz w:val="22"/>
          <w:szCs w:val="22"/>
        </w:rPr>
        <w:t xml:space="preserve">documenti e pubblicazioni allegate alla domanda decorsi 120 giorni dalla data di pubblicazione </w:t>
      </w:r>
      <w:r>
        <w:rPr>
          <w:rFonts w:ascii="Arial" w:hAnsi="Arial" w:cs="Arial"/>
          <w:sz w:val="22"/>
          <w:szCs w:val="22"/>
        </w:rPr>
        <w:t>della graduatoria concorsuale sul Bollettino Ufficiale Regionale Lombardia</w:t>
      </w:r>
      <w:r w:rsidRPr="007B4005">
        <w:rPr>
          <w:rFonts w:ascii="Arial" w:hAnsi="Arial" w:cs="Arial"/>
          <w:sz w:val="22"/>
          <w:szCs w:val="22"/>
        </w:rPr>
        <w:t xml:space="preserve"> ed entro i successivi 60 gg. Trascorso tale termine fissato per il ritiro, senza che vi abbiano provveduto, documenti e pubblicazioni verranno inviati al macero.</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3C697D" w:rsidRDefault="00C61AB5" w:rsidP="00C61AB5">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C61AB5"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C61AB5" w:rsidRPr="004D06BB" w:rsidRDefault="00C61AB5" w:rsidP="00C61AB5">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C61AB5" w:rsidRPr="00F26347" w:rsidRDefault="00C61AB5" w:rsidP="00C61AB5">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C61AB5" w:rsidRDefault="00C61AB5" w:rsidP="00C61AB5">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Pr="00DD782E"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lastRenderedPageBreak/>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EE0CD7">
        <w:rPr>
          <w:rFonts w:ascii="Arial" w:hAnsi="Arial" w:cs="Arial"/>
          <w:sz w:val="22"/>
          <w:szCs w:val="22"/>
        </w:rPr>
        <w:t>1</w:t>
      </w:r>
      <w:r w:rsidR="00DD430E">
        <w:rPr>
          <w:rFonts w:ascii="Arial" w:hAnsi="Arial" w:cs="Arial"/>
          <w:sz w:val="22"/>
          <w:szCs w:val="22"/>
        </w:rPr>
        <w:t>0</w:t>
      </w:r>
      <w:r w:rsidR="00EE0CD7">
        <w:rPr>
          <w:rFonts w:ascii="Arial" w:hAnsi="Arial" w:cs="Arial"/>
          <w:sz w:val="22"/>
          <w:szCs w:val="22"/>
        </w:rPr>
        <w:t xml:space="preserve"> </w:t>
      </w:r>
      <w:r w:rsidR="00DD430E">
        <w:rPr>
          <w:rFonts w:ascii="Arial" w:hAnsi="Arial" w:cs="Arial"/>
          <w:sz w:val="22"/>
          <w:szCs w:val="22"/>
        </w:rPr>
        <w:t>ottobre</w:t>
      </w:r>
      <w:r w:rsidR="00EE0CD7">
        <w:rPr>
          <w:rFonts w:ascii="Arial" w:hAnsi="Arial" w:cs="Arial"/>
          <w:sz w:val="22"/>
          <w:szCs w:val="22"/>
        </w:rPr>
        <w:t xml:space="preserve"> </w:t>
      </w:r>
      <w:r>
        <w:rPr>
          <w:rFonts w:ascii="Arial" w:hAnsi="Arial" w:cs="Arial"/>
          <w:sz w:val="22"/>
          <w:szCs w:val="22"/>
        </w:rPr>
        <w:t>2022</w:t>
      </w:r>
    </w:p>
    <w:p w:rsidR="00C61AB5"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C61AB5"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8F7980" w:rsidRDefault="008F7980" w:rsidP="00C61AB5">
      <w:pPr>
        <w:tabs>
          <w:tab w:val="left" w:pos="9923"/>
        </w:tabs>
        <w:ind w:left="567"/>
        <w:jc w:val="both"/>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06E" w:rsidRDefault="000C706E">
      <w:r>
        <w:separator/>
      </w:r>
    </w:p>
  </w:endnote>
  <w:endnote w:type="continuationSeparator" w:id="0">
    <w:p w:rsidR="000C706E" w:rsidRDefault="000C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6E" w:rsidRDefault="000C706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C706E" w:rsidRDefault="000C706E">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06E" w:rsidRPr="00240821" w:rsidRDefault="000C706E"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FB7232">
      <w:rPr>
        <w:rStyle w:val="Numeropagina"/>
        <w:rFonts w:ascii="Tahoma" w:hAnsi="Tahoma" w:cs="Tahoma"/>
        <w:noProof/>
      </w:rPr>
      <w:t>11</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FB7232">
      <w:rPr>
        <w:rStyle w:val="Numeropagina"/>
        <w:rFonts w:ascii="Tahoma" w:hAnsi="Tahoma" w:cs="Tahoma"/>
        <w:noProof/>
      </w:rPr>
      <w:t>11</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06E" w:rsidRDefault="000C706E">
      <w:r>
        <w:separator/>
      </w:r>
    </w:p>
  </w:footnote>
  <w:footnote w:type="continuationSeparator" w:id="0">
    <w:p w:rsidR="000C706E" w:rsidRDefault="000C7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82F62"/>
    <w:rsid w:val="000836BB"/>
    <w:rsid w:val="000A0BF0"/>
    <w:rsid w:val="000A4037"/>
    <w:rsid w:val="000B21C9"/>
    <w:rsid w:val="000B78D7"/>
    <w:rsid w:val="000C3389"/>
    <w:rsid w:val="000C49AB"/>
    <w:rsid w:val="000C51A6"/>
    <w:rsid w:val="000C706E"/>
    <w:rsid w:val="000D0D81"/>
    <w:rsid w:val="000D711C"/>
    <w:rsid w:val="000D756F"/>
    <w:rsid w:val="000E02D2"/>
    <w:rsid w:val="000F37BC"/>
    <w:rsid w:val="000F7F5D"/>
    <w:rsid w:val="00102E9C"/>
    <w:rsid w:val="001059AB"/>
    <w:rsid w:val="0010720F"/>
    <w:rsid w:val="00153AC8"/>
    <w:rsid w:val="00155699"/>
    <w:rsid w:val="00162A09"/>
    <w:rsid w:val="001701C4"/>
    <w:rsid w:val="0017253F"/>
    <w:rsid w:val="00172716"/>
    <w:rsid w:val="00174C81"/>
    <w:rsid w:val="00177C9D"/>
    <w:rsid w:val="00184AFA"/>
    <w:rsid w:val="001A6BA5"/>
    <w:rsid w:val="001B5D94"/>
    <w:rsid w:val="001B6B9A"/>
    <w:rsid w:val="001D5D65"/>
    <w:rsid w:val="001E0D8F"/>
    <w:rsid w:val="001E2645"/>
    <w:rsid w:val="001E724D"/>
    <w:rsid w:val="001F123B"/>
    <w:rsid w:val="001F2B6D"/>
    <w:rsid w:val="001F3E26"/>
    <w:rsid w:val="0020721D"/>
    <w:rsid w:val="00216DAA"/>
    <w:rsid w:val="00220886"/>
    <w:rsid w:val="002224FB"/>
    <w:rsid w:val="00227A6D"/>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A95"/>
    <w:rsid w:val="002B3F8A"/>
    <w:rsid w:val="002B4AC6"/>
    <w:rsid w:val="002B7FC7"/>
    <w:rsid w:val="002C3157"/>
    <w:rsid w:val="002D3A06"/>
    <w:rsid w:val="002D551B"/>
    <w:rsid w:val="002D5C76"/>
    <w:rsid w:val="002E03C0"/>
    <w:rsid w:val="002F1C9D"/>
    <w:rsid w:val="002F7049"/>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56E"/>
    <w:rsid w:val="00444FBB"/>
    <w:rsid w:val="004544A8"/>
    <w:rsid w:val="00461D3E"/>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505B62"/>
    <w:rsid w:val="005140B3"/>
    <w:rsid w:val="00525BC0"/>
    <w:rsid w:val="00526212"/>
    <w:rsid w:val="0053586E"/>
    <w:rsid w:val="005409E6"/>
    <w:rsid w:val="00542846"/>
    <w:rsid w:val="00550CE8"/>
    <w:rsid w:val="00553050"/>
    <w:rsid w:val="00553C52"/>
    <w:rsid w:val="00562D66"/>
    <w:rsid w:val="00572AB0"/>
    <w:rsid w:val="00580068"/>
    <w:rsid w:val="00590A86"/>
    <w:rsid w:val="00593208"/>
    <w:rsid w:val="005A2D01"/>
    <w:rsid w:val="005A5DC0"/>
    <w:rsid w:val="005B4C9F"/>
    <w:rsid w:val="005C595D"/>
    <w:rsid w:val="005D425C"/>
    <w:rsid w:val="005E1069"/>
    <w:rsid w:val="005E187E"/>
    <w:rsid w:val="005F5287"/>
    <w:rsid w:val="00607FD6"/>
    <w:rsid w:val="0061161D"/>
    <w:rsid w:val="00612CFF"/>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85781"/>
    <w:rsid w:val="007948AA"/>
    <w:rsid w:val="00797651"/>
    <w:rsid w:val="007A1BE3"/>
    <w:rsid w:val="007A32F6"/>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072"/>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59F9"/>
    <w:rsid w:val="009B6DA2"/>
    <w:rsid w:val="009C32C3"/>
    <w:rsid w:val="009D6F50"/>
    <w:rsid w:val="009E0C59"/>
    <w:rsid w:val="009E1817"/>
    <w:rsid w:val="009F18DF"/>
    <w:rsid w:val="009F2EDD"/>
    <w:rsid w:val="009F7BB9"/>
    <w:rsid w:val="00A0642F"/>
    <w:rsid w:val="00A0693E"/>
    <w:rsid w:val="00A0747C"/>
    <w:rsid w:val="00A10D37"/>
    <w:rsid w:val="00A20DE5"/>
    <w:rsid w:val="00A22205"/>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B6332"/>
    <w:rsid w:val="00AC2054"/>
    <w:rsid w:val="00AC29A9"/>
    <w:rsid w:val="00AD59AB"/>
    <w:rsid w:val="00AD757C"/>
    <w:rsid w:val="00AF2650"/>
    <w:rsid w:val="00B13C44"/>
    <w:rsid w:val="00B1621A"/>
    <w:rsid w:val="00B1725C"/>
    <w:rsid w:val="00B21EB2"/>
    <w:rsid w:val="00B24E25"/>
    <w:rsid w:val="00B261EA"/>
    <w:rsid w:val="00B343C0"/>
    <w:rsid w:val="00B41EB9"/>
    <w:rsid w:val="00B426FD"/>
    <w:rsid w:val="00B45E00"/>
    <w:rsid w:val="00B51467"/>
    <w:rsid w:val="00B55330"/>
    <w:rsid w:val="00B572FD"/>
    <w:rsid w:val="00B60CD1"/>
    <w:rsid w:val="00B6214E"/>
    <w:rsid w:val="00B65885"/>
    <w:rsid w:val="00B8572E"/>
    <w:rsid w:val="00B86F57"/>
    <w:rsid w:val="00B90A7C"/>
    <w:rsid w:val="00B91950"/>
    <w:rsid w:val="00B92FA0"/>
    <w:rsid w:val="00B972DC"/>
    <w:rsid w:val="00B9754C"/>
    <w:rsid w:val="00BA186A"/>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558D9"/>
    <w:rsid w:val="00C61AB5"/>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0B5C"/>
    <w:rsid w:val="00D26CB2"/>
    <w:rsid w:val="00D30792"/>
    <w:rsid w:val="00D321FD"/>
    <w:rsid w:val="00D3408A"/>
    <w:rsid w:val="00D4021A"/>
    <w:rsid w:val="00D570F9"/>
    <w:rsid w:val="00D61141"/>
    <w:rsid w:val="00D615E8"/>
    <w:rsid w:val="00D763CD"/>
    <w:rsid w:val="00D8032B"/>
    <w:rsid w:val="00D82EC7"/>
    <w:rsid w:val="00D84380"/>
    <w:rsid w:val="00D85A33"/>
    <w:rsid w:val="00DA6E08"/>
    <w:rsid w:val="00DB15DB"/>
    <w:rsid w:val="00DC3C2D"/>
    <w:rsid w:val="00DC3D07"/>
    <w:rsid w:val="00DD430E"/>
    <w:rsid w:val="00DD782E"/>
    <w:rsid w:val="00DE1EED"/>
    <w:rsid w:val="00DF11FA"/>
    <w:rsid w:val="00DF1468"/>
    <w:rsid w:val="00DF52C6"/>
    <w:rsid w:val="00DF759A"/>
    <w:rsid w:val="00E02435"/>
    <w:rsid w:val="00E03911"/>
    <w:rsid w:val="00E03C3C"/>
    <w:rsid w:val="00E11081"/>
    <w:rsid w:val="00E24B1B"/>
    <w:rsid w:val="00E2798B"/>
    <w:rsid w:val="00E32B13"/>
    <w:rsid w:val="00E348DF"/>
    <w:rsid w:val="00E34F5F"/>
    <w:rsid w:val="00E51863"/>
    <w:rsid w:val="00E53057"/>
    <w:rsid w:val="00E554D7"/>
    <w:rsid w:val="00E73916"/>
    <w:rsid w:val="00E80351"/>
    <w:rsid w:val="00E865C0"/>
    <w:rsid w:val="00E9047D"/>
    <w:rsid w:val="00EA0590"/>
    <w:rsid w:val="00EA5635"/>
    <w:rsid w:val="00EA7E24"/>
    <w:rsid w:val="00ED7233"/>
    <w:rsid w:val="00EE02E8"/>
    <w:rsid w:val="00EE0505"/>
    <w:rsid w:val="00EE0CD7"/>
    <w:rsid w:val="00EE5E9C"/>
    <w:rsid w:val="00EF0A80"/>
    <w:rsid w:val="00EF7BDA"/>
    <w:rsid w:val="00F02451"/>
    <w:rsid w:val="00F05CFD"/>
    <w:rsid w:val="00F207B7"/>
    <w:rsid w:val="00F21C12"/>
    <w:rsid w:val="00F23EAD"/>
    <w:rsid w:val="00F25154"/>
    <w:rsid w:val="00F260FF"/>
    <w:rsid w:val="00F2636C"/>
    <w:rsid w:val="00F271FC"/>
    <w:rsid w:val="00F366AE"/>
    <w:rsid w:val="00F448FD"/>
    <w:rsid w:val="00F51280"/>
    <w:rsid w:val="00F80433"/>
    <w:rsid w:val="00F85DD8"/>
    <w:rsid w:val="00F9591C"/>
    <w:rsid w:val="00FA26D4"/>
    <w:rsid w:val="00FA295E"/>
    <w:rsid w:val="00FA6872"/>
    <w:rsid w:val="00FB2516"/>
    <w:rsid w:val="00FB6A5D"/>
    <w:rsid w:val="00FB7232"/>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828A12B3-707A-4EEA-9449-627D80EFC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B1C34-63EE-43A8-B2A3-88B94C0C7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5059</Words>
  <Characters>30763</Characters>
  <Application>Microsoft Office Word</Application>
  <DocSecurity>0</DocSecurity>
  <Lines>256</Lines>
  <Paragraphs>71</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35751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2022-08-11T09:25:00Z</cp:lastPrinted>
  <dcterms:created xsi:type="dcterms:W3CDTF">2022-10-06T12:52:00Z</dcterms:created>
  <dcterms:modified xsi:type="dcterms:W3CDTF">2022-10-10T08:36:00Z</dcterms:modified>
</cp:coreProperties>
</file>