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62" w:type="dxa"/>
        <w:jc w:val="center"/>
        <w:tblLook w:val="04A0" w:firstRow="1" w:lastRow="0" w:firstColumn="1" w:lastColumn="0" w:noHBand="0" w:noVBand="1"/>
      </w:tblPr>
      <w:tblGrid>
        <w:gridCol w:w="2395"/>
        <w:gridCol w:w="7257"/>
        <w:gridCol w:w="510"/>
      </w:tblGrid>
      <w:tr w:rsidR="00EF196B" w:rsidTr="00470E07">
        <w:trPr>
          <w:trHeight w:val="964"/>
          <w:jc w:val="center"/>
        </w:trPr>
        <w:tc>
          <w:tcPr>
            <w:tcW w:w="2395" w:type="dxa"/>
            <w:shd w:val="clear" w:color="auto" w:fill="auto"/>
          </w:tcPr>
          <w:p w:rsidR="00EF196B" w:rsidRDefault="000B5E4E">
            <w:pPr>
              <w:jc w:val="center"/>
              <w:rPr>
                <w:b/>
                <w:sz w:val="22"/>
                <w:szCs w:val="16"/>
              </w:rPr>
            </w:pPr>
            <w:bookmarkStart w:id="0" w:name="OLE_LINK1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75CEBFBD" wp14:editId="179E9D83">
                  <wp:extent cx="943610" cy="54864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7" t="-107" r="-67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shd w:val="clear" w:color="auto" w:fill="auto"/>
            <w:vAlign w:val="center"/>
          </w:tcPr>
          <w:p w:rsidR="00EF196B" w:rsidRDefault="00470E07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NOT</w:t>
            </w:r>
            <w:r w:rsidR="000B5E4E">
              <w:rPr>
                <w:b/>
                <w:sz w:val="22"/>
                <w:szCs w:val="16"/>
              </w:rPr>
              <w:t>A INFORMATIVA</w:t>
            </w:r>
            <w:r w:rsidR="00BD019E">
              <w:rPr>
                <w:b/>
                <w:sz w:val="22"/>
                <w:szCs w:val="16"/>
              </w:rPr>
              <w:t xml:space="preserve"> </w:t>
            </w:r>
            <w:r>
              <w:rPr>
                <w:b/>
                <w:sz w:val="22"/>
                <w:szCs w:val="22"/>
              </w:rPr>
              <w:t>SCINTIGRAFIA</w:t>
            </w:r>
            <w:r w:rsidR="00BD019E" w:rsidRPr="00BD019E">
              <w:rPr>
                <w:b/>
                <w:sz w:val="22"/>
                <w:szCs w:val="22"/>
              </w:rPr>
              <w:t xml:space="preserve"> CON ANALOGHI MARCATI DELLA SOMATOSTATINA (OCTREOSCAN)</w:t>
            </w:r>
          </w:p>
        </w:tc>
        <w:tc>
          <w:tcPr>
            <w:tcW w:w="510" w:type="dxa"/>
            <w:shd w:val="clear" w:color="auto" w:fill="auto"/>
          </w:tcPr>
          <w:p w:rsidR="00EF196B" w:rsidRDefault="00EF196B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EF196B" w:rsidRDefault="00EF196B">
      <w:pPr>
        <w:tabs>
          <w:tab w:val="left" w:pos="3612"/>
        </w:tabs>
        <w:rPr>
          <w:bCs/>
          <w:sz w:val="22"/>
          <w:szCs w:val="22"/>
        </w:rPr>
      </w:pPr>
    </w:p>
    <w:p w:rsidR="00EF196B" w:rsidRDefault="000B5E4E">
      <w:pPr>
        <w:tabs>
          <w:tab w:val="left" w:pos="361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Informativa allegata al consenso aziendale MOD01POL04 Consenso informato.</w:t>
      </w:r>
    </w:p>
    <w:p w:rsidR="00EF196B" w:rsidRDefault="00EF196B">
      <w:pPr>
        <w:rPr>
          <w:bCs/>
          <w:sz w:val="22"/>
          <w:szCs w:val="22"/>
        </w:rPr>
      </w:pPr>
    </w:p>
    <w:tbl>
      <w:tblPr>
        <w:tblW w:w="10226" w:type="dxa"/>
        <w:jc w:val="center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31"/>
      </w:tblGrid>
      <w:tr w:rsidR="00EF196B" w:rsidRPr="00470E07" w:rsidTr="00470E07">
        <w:trPr>
          <w:trHeight w:val="45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Reparto / Servizio</w:t>
            </w:r>
            <w:r w:rsidRPr="00470E07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center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MEDICINA NUCLEARE</w:t>
            </w:r>
          </w:p>
        </w:tc>
      </w:tr>
      <w:tr w:rsidR="00EF196B" w:rsidRPr="00470E07" w:rsidTr="00470E07">
        <w:trPr>
          <w:trHeight w:val="45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  <w:r w:rsidRPr="00470E07">
              <w:rPr>
                <w:bCs/>
                <w:sz w:val="22"/>
                <w:szCs w:val="22"/>
              </w:rPr>
              <w:t>Data |__|__| |__|__| |__|__|__|__|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b w:val="0"/>
                <w:bCs/>
                <w:sz w:val="22"/>
                <w:szCs w:val="22"/>
              </w:rPr>
            </w:pPr>
            <w:r w:rsidRPr="00470E07">
              <w:rPr>
                <w:b w:val="0"/>
                <w:bCs/>
                <w:sz w:val="22"/>
                <w:szCs w:val="22"/>
              </w:rPr>
              <w:t>Ora |__|__| |__|__|</w:t>
            </w:r>
          </w:p>
        </w:tc>
      </w:tr>
      <w:tr w:rsidR="00EF196B" w:rsidRPr="00470E07">
        <w:trPr>
          <w:trHeight w:val="1020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tabs>
                <w:tab w:val="left" w:pos="3612"/>
              </w:tabs>
              <w:rPr>
                <w:bCs/>
                <w:sz w:val="22"/>
                <w:szCs w:val="22"/>
              </w:rPr>
            </w:pPr>
            <w:r w:rsidRPr="00470E07">
              <w:rPr>
                <w:bCs/>
                <w:sz w:val="22"/>
                <w:szCs w:val="22"/>
              </w:rPr>
              <w:t>Il MEDICO che ha illustrato l’informativa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  <w:r w:rsidRPr="00470E07">
              <w:rPr>
                <w:bCs/>
                <w:sz w:val="22"/>
                <w:szCs w:val="22"/>
              </w:rPr>
              <w:t>Dr./Dr.ssa ………………………………………………….…</w:t>
            </w:r>
          </w:p>
          <w:p w:rsidR="00EF196B" w:rsidRPr="00470E07" w:rsidRDefault="00EF196B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</w:p>
          <w:p w:rsidR="00EF196B" w:rsidRPr="00470E07" w:rsidRDefault="000B5E4E">
            <w:pPr>
              <w:tabs>
                <w:tab w:val="left" w:pos="3612"/>
              </w:tabs>
              <w:jc w:val="left"/>
              <w:rPr>
                <w:bCs/>
                <w:sz w:val="22"/>
                <w:szCs w:val="22"/>
              </w:rPr>
            </w:pPr>
            <w:r w:rsidRPr="00470E07">
              <w:rPr>
                <w:bCs/>
                <w:sz w:val="22"/>
                <w:szCs w:val="22"/>
              </w:rPr>
              <w:t>Firma ____________________________________________</w:t>
            </w:r>
          </w:p>
        </w:tc>
      </w:tr>
      <w:tr w:rsidR="00EF196B" w:rsidRPr="00470E07" w:rsidTr="00470E07">
        <w:trPr>
          <w:trHeight w:val="45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tabs>
                <w:tab w:val="left" w:pos="3612"/>
              </w:tabs>
              <w:jc w:val="left"/>
              <w:rPr>
                <w:b/>
                <w:sz w:val="22"/>
                <w:szCs w:val="22"/>
              </w:rPr>
            </w:pPr>
            <w:r w:rsidRPr="00470E07">
              <w:rPr>
                <w:b/>
                <w:sz w:val="22"/>
                <w:szCs w:val="22"/>
              </w:rPr>
              <w:t>Nome e Cognome del paziente: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  <w:r w:rsidRPr="00470E07">
              <w:rPr>
                <w:b w:val="0"/>
                <w:sz w:val="22"/>
                <w:szCs w:val="22"/>
              </w:rPr>
              <w:t>_________________________________________________</w:t>
            </w:r>
          </w:p>
        </w:tc>
      </w:tr>
      <w:tr w:rsidR="00EF196B" w:rsidRPr="00470E07" w:rsidTr="00470E07">
        <w:trPr>
          <w:trHeight w:val="45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Procedura proposta</w:t>
            </w:r>
            <w:r w:rsidRPr="00470E07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  <w:vAlign w:val="center"/>
          </w:tcPr>
          <w:p w:rsidR="00EF196B" w:rsidRPr="00470E07" w:rsidRDefault="00470E07" w:rsidP="00470E07">
            <w:pPr>
              <w:snapToGri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Scintigrafia</w:t>
            </w:r>
            <w:r w:rsidRPr="00470E07">
              <w:rPr>
                <w:b/>
                <w:sz w:val="22"/>
                <w:szCs w:val="22"/>
              </w:rPr>
              <w:t xml:space="preserve"> con analoghi marcati della somatostatina </w:t>
            </w:r>
            <w:r w:rsidR="000B5E4E" w:rsidRPr="00470E07">
              <w:rPr>
                <w:b/>
                <w:sz w:val="22"/>
                <w:szCs w:val="22"/>
              </w:rPr>
              <w:t>(OCTREOSCAN)</w:t>
            </w:r>
          </w:p>
        </w:tc>
      </w:tr>
      <w:tr w:rsidR="00EF196B" w:rsidRPr="00470E07" w:rsidTr="00470E07">
        <w:trPr>
          <w:trHeight w:val="4706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</w:tcPr>
          <w:p w:rsidR="00EF196B" w:rsidRPr="00470E07" w:rsidRDefault="000B5E4E" w:rsidP="00470E07">
            <w:pPr>
              <w:pStyle w:val="Stile2"/>
              <w:spacing w:before="60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 xml:space="preserve">Perché si propone questo trattamento? </w:t>
            </w:r>
            <w:r w:rsidRPr="00470E07">
              <w:rPr>
                <w:b w:val="0"/>
                <w:sz w:val="22"/>
                <w:szCs w:val="22"/>
              </w:rPr>
              <w:t xml:space="preserve"> </w:t>
            </w: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0B5E4E" w:rsidP="00BD019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le indicazioni?</w:t>
            </w: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0B5E4E" w:rsidP="00BD019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le controindicazioni?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470E07" w:rsidP="00470E07">
            <w:pPr>
              <w:pStyle w:val="Stile2"/>
              <w:snapToGrid w:val="0"/>
              <w:spacing w:before="60"/>
              <w:rPr>
                <w:b w:val="0"/>
                <w:sz w:val="22"/>
                <w:szCs w:val="22"/>
              </w:rPr>
            </w:pPr>
            <w:r w:rsidRPr="00470E07">
              <w:rPr>
                <w:b w:val="0"/>
                <w:bCs/>
                <w:sz w:val="22"/>
                <w:szCs w:val="22"/>
              </w:rPr>
              <w:t>È</w:t>
            </w:r>
            <w:r w:rsidR="000B5E4E" w:rsidRPr="00470E0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un esame non invasivo</w:t>
            </w:r>
            <w:r w:rsidR="000B5E4E" w:rsidRPr="00470E07">
              <w:rPr>
                <w:b w:val="0"/>
                <w:sz w:val="22"/>
                <w:szCs w:val="22"/>
              </w:rPr>
              <w:t xml:space="preserve"> di tipo funzionale che permette di ottenere informazioni relative alla densità dei recettori per la somatostatina per alcuni processi patologici (oncologici). </w:t>
            </w:r>
          </w:p>
          <w:p w:rsidR="00BD019E" w:rsidRPr="00470E07" w:rsidRDefault="00BD019E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</w:p>
          <w:p w:rsidR="00EF196B" w:rsidRPr="00470E07" w:rsidRDefault="000B5E4E">
            <w:pPr>
              <w:snapToGrid w:val="0"/>
              <w:rPr>
                <w:sz w:val="22"/>
                <w:szCs w:val="22"/>
              </w:rPr>
            </w:pPr>
            <w:r w:rsidRPr="00470E07">
              <w:rPr>
                <w:color w:val="000000"/>
                <w:sz w:val="22"/>
                <w:szCs w:val="22"/>
              </w:rPr>
              <w:t xml:space="preserve">Trova indicazione nei tumori neuroendocrini (stadiazione, ristadiazione, valutazione della risposta alla terapia), dotati di elevata densità di recettori per la </w:t>
            </w:r>
            <w:r w:rsidR="00470E07">
              <w:rPr>
                <w:color w:val="000000"/>
                <w:sz w:val="22"/>
                <w:szCs w:val="22"/>
              </w:rPr>
              <w:t>somatostatina,</w:t>
            </w:r>
            <w:r w:rsidRPr="00470E07">
              <w:rPr>
                <w:color w:val="000000"/>
                <w:sz w:val="22"/>
                <w:szCs w:val="22"/>
              </w:rPr>
              <w:t xml:space="preserve"> più frequentemente del tratto gastro-entro-pancreatico e dei polmoni, funzionanti (es.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gastrinoma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insulinoma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VIPoma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somatostatinoma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>) o non funzionanti, nonché i tumori della cresta neurale (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feocromocitoma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paraganglioma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). Sedi meno frequenti sono la cute (carcinoma di </w:t>
            </w:r>
            <w:proofErr w:type="spellStart"/>
            <w:r w:rsidRPr="00470E07">
              <w:rPr>
                <w:color w:val="000000"/>
                <w:sz w:val="22"/>
                <w:szCs w:val="22"/>
              </w:rPr>
              <w:t>Merkel</w:t>
            </w:r>
            <w:proofErr w:type="spellEnd"/>
            <w:r w:rsidRPr="00470E07">
              <w:rPr>
                <w:color w:val="000000"/>
                <w:sz w:val="22"/>
                <w:szCs w:val="22"/>
              </w:rPr>
              <w:t xml:space="preserve">), la tiroide (carcinoma midollare della tiroide, carcinoma dell’epitelio follicolare), e il tratto genitale. </w:t>
            </w:r>
          </w:p>
          <w:p w:rsidR="00EF196B" w:rsidRPr="00470E07" w:rsidRDefault="00EF196B">
            <w:pPr>
              <w:pStyle w:val="Stile2"/>
              <w:snapToGrid w:val="0"/>
              <w:rPr>
                <w:b w:val="0"/>
                <w:sz w:val="22"/>
                <w:szCs w:val="22"/>
              </w:rPr>
            </w:pPr>
          </w:p>
          <w:p w:rsidR="00EF196B" w:rsidRPr="00470E07" w:rsidRDefault="000B5E4E" w:rsidP="00BD019E">
            <w:pPr>
              <w:pStyle w:val="Stile2"/>
              <w:snapToGrid w:val="0"/>
              <w:rPr>
                <w:sz w:val="22"/>
                <w:szCs w:val="22"/>
              </w:rPr>
            </w:pPr>
            <w:r w:rsidRPr="00470E07">
              <w:rPr>
                <w:b w:val="0"/>
                <w:sz w:val="22"/>
                <w:szCs w:val="22"/>
              </w:rPr>
              <w:t xml:space="preserve">La gravidanza di norma è controindicata; l’allattamento deve essere sospeso nelle </w:t>
            </w:r>
            <w:r w:rsidRPr="00470E07">
              <w:rPr>
                <w:b w:val="0"/>
                <w:color w:val="000000"/>
                <w:sz w:val="22"/>
                <w:szCs w:val="22"/>
              </w:rPr>
              <w:t>60</w:t>
            </w:r>
            <w:r w:rsidRPr="00470E07">
              <w:rPr>
                <w:b w:val="0"/>
                <w:color w:val="CE181E"/>
                <w:sz w:val="22"/>
                <w:szCs w:val="22"/>
              </w:rPr>
              <w:t xml:space="preserve"> </w:t>
            </w:r>
            <w:r w:rsidRPr="00470E07">
              <w:rPr>
                <w:b w:val="0"/>
                <w:sz w:val="22"/>
                <w:szCs w:val="22"/>
              </w:rPr>
              <w:t>ore successive alla somministrazione del radiofarmaco.</w:t>
            </w:r>
          </w:p>
        </w:tc>
      </w:tr>
      <w:tr w:rsidR="00EF196B" w:rsidRPr="00470E07" w:rsidTr="00BD019E">
        <w:trPr>
          <w:trHeight w:val="3005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</w:tcPr>
          <w:p w:rsidR="00EF196B" w:rsidRPr="00470E07" w:rsidRDefault="000B5E4E" w:rsidP="00470E07">
            <w:pPr>
              <w:pStyle w:val="Stile2"/>
              <w:spacing w:before="60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 è la procedura operativa?</w:t>
            </w: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EF196B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BD019E" w:rsidRPr="00470E07" w:rsidRDefault="00BD019E" w:rsidP="00BD019E">
            <w:pPr>
              <w:pStyle w:val="Stile2"/>
              <w:jc w:val="left"/>
              <w:rPr>
                <w:b w:val="0"/>
                <w:sz w:val="22"/>
                <w:szCs w:val="22"/>
              </w:rPr>
            </w:pPr>
          </w:p>
          <w:p w:rsidR="00EF196B" w:rsidRPr="00470E07" w:rsidRDefault="000B5E4E" w:rsidP="00BD019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Cosa fare prima e dopo il trattamento?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 w:rsidP="00470E07">
            <w:pPr>
              <w:pStyle w:val="Default"/>
              <w:widowControl/>
              <w:suppressAutoHyphens/>
              <w:snapToGrid w:val="0"/>
              <w:spacing w:before="60"/>
              <w:jc w:val="both"/>
              <w:rPr>
                <w:rFonts w:cs="Times New Roman"/>
                <w:sz w:val="22"/>
                <w:szCs w:val="22"/>
              </w:rPr>
            </w:pPr>
            <w:r w:rsidRPr="00470E07">
              <w:rPr>
                <w:rFonts w:cs="Times New Roman"/>
                <w:sz w:val="22"/>
                <w:szCs w:val="22"/>
              </w:rPr>
              <w:t>La somministrazione del radiofarm</w:t>
            </w:r>
            <w:r w:rsidR="00470E07">
              <w:rPr>
                <w:rFonts w:cs="Times New Roman"/>
                <w:sz w:val="22"/>
                <w:szCs w:val="22"/>
              </w:rPr>
              <w:t>aco avviene per via endovenosa.</w:t>
            </w:r>
          </w:p>
          <w:p w:rsidR="00EF196B" w:rsidRPr="00470E07" w:rsidRDefault="000B5E4E" w:rsidP="000B5E4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70E07">
              <w:rPr>
                <w:rFonts w:cs="Times New Roman"/>
                <w:sz w:val="22"/>
                <w:szCs w:val="22"/>
              </w:rPr>
              <w:t>L’acquisizione delle immagini si effettua dopo 4 e dopo 24 ore dalla somministrazione.</w:t>
            </w:r>
            <w:r w:rsidR="00470E07">
              <w:rPr>
                <w:rFonts w:cs="Times New Roman"/>
                <w:sz w:val="22"/>
                <w:szCs w:val="22"/>
              </w:rPr>
              <w:t xml:space="preserve"> </w:t>
            </w:r>
            <w:r w:rsidRPr="00470E07">
              <w:rPr>
                <w:rFonts w:cs="Times New Roman"/>
                <w:sz w:val="22"/>
                <w:szCs w:val="22"/>
              </w:rPr>
              <w:t xml:space="preserve">Durante questo tempo il paziente è libero ed è invitato a bere molto. </w:t>
            </w:r>
          </w:p>
          <w:p w:rsidR="00EF196B" w:rsidRPr="00470E07" w:rsidRDefault="000B5E4E" w:rsidP="000B5E4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70E07">
              <w:rPr>
                <w:rFonts w:cs="Times New Roman"/>
                <w:sz w:val="22"/>
                <w:szCs w:val="22"/>
              </w:rPr>
              <w:t>All’ora concordata, dopo aver urinato, il paziente viene posizionato</w:t>
            </w:r>
            <w:r w:rsidR="00BD019E" w:rsidRPr="00470E07">
              <w:rPr>
                <w:rFonts w:cs="Times New Roman"/>
                <w:sz w:val="22"/>
                <w:szCs w:val="22"/>
              </w:rPr>
              <w:t xml:space="preserve"> </w:t>
            </w:r>
            <w:r w:rsidRPr="00470E07">
              <w:rPr>
                <w:rFonts w:cs="Times New Roman"/>
                <w:sz w:val="22"/>
                <w:szCs w:val="22"/>
              </w:rPr>
              <w:t>sul lettino della gamma</w:t>
            </w:r>
            <w:r w:rsidR="00470E07">
              <w:rPr>
                <w:rFonts w:cs="Times New Roman"/>
                <w:sz w:val="22"/>
                <w:szCs w:val="22"/>
              </w:rPr>
              <w:t>-</w:t>
            </w:r>
            <w:r w:rsidRPr="00470E07">
              <w:rPr>
                <w:rFonts w:cs="Times New Roman"/>
                <w:sz w:val="22"/>
                <w:szCs w:val="22"/>
              </w:rPr>
              <w:t xml:space="preserve">camera per l’esecuzione dell’esame. </w:t>
            </w:r>
          </w:p>
          <w:p w:rsidR="00EF196B" w:rsidRPr="00470E07" w:rsidRDefault="000B5E4E" w:rsidP="000B5E4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70E07">
              <w:rPr>
                <w:rFonts w:cs="Times New Roman"/>
                <w:sz w:val="22"/>
                <w:szCs w:val="22"/>
              </w:rPr>
              <w:t>In alcuni casi potrebbero essere necessarie a</w:t>
            </w:r>
            <w:r w:rsidR="00470E07">
              <w:rPr>
                <w:rFonts w:cs="Times New Roman"/>
                <w:sz w:val="22"/>
                <w:szCs w:val="22"/>
              </w:rPr>
              <w:t xml:space="preserve">cquisizioni tardive (a 48 ore) </w:t>
            </w:r>
            <w:r w:rsidRPr="00470E07">
              <w:rPr>
                <w:rFonts w:cs="Times New Roman"/>
                <w:sz w:val="22"/>
                <w:szCs w:val="22"/>
              </w:rPr>
              <w:t>o aggiuntive sulla scorta del quesito diagnostico.</w:t>
            </w:r>
          </w:p>
          <w:p w:rsidR="00BD019E" w:rsidRPr="00470E07" w:rsidRDefault="00BD019E" w:rsidP="000B5E4E">
            <w:pPr>
              <w:snapToGrid w:val="0"/>
              <w:rPr>
                <w:bCs/>
                <w:sz w:val="22"/>
                <w:szCs w:val="22"/>
              </w:rPr>
            </w:pPr>
          </w:p>
          <w:p w:rsidR="00EF196B" w:rsidRPr="00470E07" w:rsidRDefault="000B5E4E">
            <w:pPr>
              <w:snapToGrid w:val="0"/>
              <w:rPr>
                <w:sz w:val="22"/>
                <w:szCs w:val="22"/>
              </w:rPr>
            </w:pPr>
            <w:r w:rsidRPr="00470E07">
              <w:rPr>
                <w:b/>
                <w:bCs/>
                <w:sz w:val="22"/>
                <w:szCs w:val="22"/>
              </w:rPr>
              <w:t>Prima del trattamento</w:t>
            </w:r>
            <w:r w:rsidRPr="00470E07">
              <w:rPr>
                <w:sz w:val="22"/>
                <w:szCs w:val="22"/>
              </w:rPr>
              <w:t>:</w:t>
            </w:r>
          </w:p>
          <w:p w:rsidR="00EF196B" w:rsidRPr="00470E07" w:rsidRDefault="000B5E4E">
            <w:pPr>
              <w:snapToGrid w:val="0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Non è necessario il digiuno.</w:t>
            </w:r>
          </w:p>
          <w:p w:rsidR="00EF196B" w:rsidRPr="00470E07" w:rsidRDefault="000B5E4E">
            <w:pPr>
              <w:snapToGrid w:val="0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Quando clinicamente possibile, si attua la sospensione  temporanea degli analoghi della somatostatina, per evitare interferenze, di 24 ore per gli analoghi della somatostatina a breve durata d’azione, e di 3-4 settimane per gli analoghi a lento rilascio.</w:t>
            </w:r>
          </w:p>
          <w:p w:rsidR="00EF196B" w:rsidRPr="00470E07" w:rsidRDefault="000B5E4E">
            <w:pPr>
              <w:snapToGrid w:val="0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 xml:space="preserve">La sera del giorno della somministrazione è consigliabile assumere un lassativo osmotico (Mannitolo) allo scopo di minimizzare la possibilità di artefatti dovuti all’escrezione </w:t>
            </w:r>
            <w:r w:rsidRPr="00470E07">
              <w:rPr>
                <w:sz w:val="22"/>
                <w:szCs w:val="22"/>
              </w:rPr>
              <w:lastRenderedPageBreak/>
              <w:t xml:space="preserve">biliare del radiofarmaco. </w:t>
            </w:r>
          </w:p>
          <w:p w:rsidR="00EF196B" w:rsidRPr="00470E07" w:rsidRDefault="00470E07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È</w:t>
            </w:r>
            <w:r w:rsidR="000B5E4E" w:rsidRPr="00470E07">
              <w:rPr>
                <w:bCs/>
                <w:sz w:val="22"/>
                <w:szCs w:val="22"/>
              </w:rPr>
              <w:t xml:space="preserve"> inoltre necessario portare con sé tutta la documentazione (Relazioni Specialistiche, TAC, RMN, Ecografie, altre indagini) utile ad un corretto inquadramento del quesito diagnostico.</w:t>
            </w:r>
          </w:p>
          <w:p w:rsidR="00EF196B" w:rsidRPr="00470E07" w:rsidRDefault="000B5E4E">
            <w:pPr>
              <w:snapToGrid w:val="0"/>
              <w:rPr>
                <w:sz w:val="22"/>
                <w:szCs w:val="22"/>
              </w:rPr>
            </w:pPr>
            <w:r w:rsidRPr="00470E07">
              <w:rPr>
                <w:b/>
                <w:bCs/>
                <w:sz w:val="22"/>
                <w:szCs w:val="22"/>
              </w:rPr>
              <w:t>Dopo il trattamento</w:t>
            </w:r>
            <w:r w:rsidRPr="00470E07">
              <w:rPr>
                <w:bCs/>
                <w:sz w:val="22"/>
                <w:szCs w:val="22"/>
              </w:rPr>
              <w:t>: le persone che hanno eseguito l’indagine PET-TC possono riprendere le loro attività ed abitudini. E’ consigliabile mantenere una buona idratazione anche dopo l’espletamento dell’esame, al</w:t>
            </w:r>
            <w:r w:rsidR="00470E07">
              <w:rPr>
                <w:bCs/>
                <w:sz w:val="22"/>
                <w:szCs w:val="22"/>
              </w:rPr>
              <w:t xml:space="preserve"> </w:t>
            </w:r>
            <w:r w:rsidRPr="00470E07">
              <w:rPr>
                <w:bCs/>
                <w:sz w:val="22"/>
                <w:szCs w:val="22"/>
              </w:rPr>
              <w:t>fine di facilitare l’eliminazione del radiofarmaco per via renale. Inoltre è raccomandato evitare il contatto prolungato con</w:t>
            </w:r>
            <w:r w:rsidRPr="00470E07">
              <w:rPr>
                <w:b/>
                <w:bCs/>
                <w:sz w:val="22"/>
                <w:szCs w:val="22"/>
              </w:rPr>
              <w:t xml:space="preserve"> bambini (0-10 anni) e donne in stato di gravidanza nelle </w:t>
            </w:r>
            <w:r w:rsidRPr="00470E07">
              <w:rPr>
                <w:b/>
                <w:bCs/>
                <w:color w:val="000000"/>
                <w:sz w:val="22"/>
                <w:szCs w:val="22"/>
              </w:rPr>
              <w:t xml:space="preserve">48 ore </w:t>
            </w:r>
            <w:r w:rsidRPr="00470E07">
              <w:rPr>
                <w:b/>
                <w:bCs/>
                <w:sz w:val="22"/>
                <w:szCs w:val="22"/>
              </w:rPr>
              <w:t>che seguono l’iniezione del radiofarmaco</w:t>
            </w:r>
            <w:r w:rsidRPr="00470E07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EF196B" w:rsidRPr="00470E07" w:rsidTr="00470E07">
        <w:trPr>
          <w:trHeight w:val="1077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lastRenderedPageBreak/>
              <w:t>Quali benefici ci attendiamo dal trattamento e quali sono le probabilità di successo?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>
            <w:pPr>
              <w:pStyle w:val="Stile2"/>
              <w:snapToGrid w:val="0"/>
              <w:spacing w:before="40"/>
              <w:rPr>
                <w:sz w:val="22"/>
                <w:szCs w:val="22"/>
              </w:rPr>
            </w:pPr>
            <w:r w:rsidRPr="00470E07">
              <w:rPr>
                <w:b w:val="0"/>
                <w:sz w:val="22"/>
                <w:szCs w:val="22"/>
              </w:rPr>
              <w:t>Trattandosi di un esame funzionale, è possibile rilevare precocemente alterazioni del metabolismo di alterazioni morfo</w:t>
            </w:r>
            <w:r w:rsidR="00470E07">
              <w:rPr>
                <w:b w:val="0"/>
                <w:sz w:val="22"/>
                <w:szCs w:val="22"/>
              </w:rPr>
              <w:t xml:space="preserve">logiche riscontrate a indagini </w:t>
            </w:r>
            <w:r w:rsidRPr="00470E07">
              <w:rPr>
                <w:b w:val="0"/>
                <w:sz w:val="22"/>
                <w:szCs w:val="22"/>
              </w:rPr>
              <w:t>T</w:t>
            </w:r>
            <w:r w:rsidR="00470E07">
              <w:rPr>
                <w:b w:val="0"/>
                <w:sz w:val="22"/>
                <w:szCs w:val="22"/>
              </w:rPr>
              <w:t>A</w:t>
            </w:r>
            <w:r w:rsidRPr="00470E07">
              <w:rPr>
                <w:b w:val="0"/>
                <w:sz w:val="22"/>
                <w:szCs w:val="22"/>
              </w:rPr>
              <w:t xml:space="preserve">C o RMN, incidendo significativamente sulla precocità diagnostica. </w:t>
            </w:r>
          </w:p>
        </w:tc>
      </w:tr>
      <w:tr w:rsidR="00EF196B" w:rsidRPr="00470E07" w:rsidTr="00BD019E">
        <w:trPr>
          <w:trHeight w:val="45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i possibili problemi di recupero?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>
            <w:pPr>
              <w:pStyle w:val="Rientrocorpodeltesto"/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70E07">
              <w:rPr>
                <w:rFonts w:ascii="Times New Roman" w:hAnsi="Times New Roman" w:cs="Times New Roman"/>
                <w:sz w:val="22"/>
                <w:szCs w:val="22"/>
              </w:rPr>
              <w:t xml:space="preserve">Di norma non vi sono problemi di recupero: il radiofarmaco viene eliminato in </w:t>
            </w:r>
            <w:r w:rsidRPr="00470E0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 w:rsidRPr="00470E07">
              <w:rPr>
                <w:rFonts w:ascii="Times New Roman" w:hAnsi="Times New Roman" w:cs="Times New Roman"/>
                <w:sz w:val="22"/>
                <w:szCs w:val="22"/>
              </w:rPr>
              <w:t xml:space="preserve"> ore; parallelamente, anche la radioattività assorbita decade al livello del fondo ambientale nello stesso tempo.</w:t>
            </w:r>
          </w:p>
        </w:tc>
      </w:tr>
      <w:tr w:rsidR="00EF196B" w:rsidRPr="00470E07" w:rsidTr="00470E07">
        <w:trPr>
          <w:trHeight w:val="624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gli esiti di eventuale non trattamento?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>
            <w:pPr>
              <w:pStyle w:val="Stile2"/>
              <w:snapToGrid w:val="0"/>
              <w:spacing w:before="60"/>
              <w:rPr>
                <w:sz w:val="22"/>
                <w:szCs w:val="22"/>
              </w:rPr>
            </w:pPr>
            <w:r w:rsidRPr="00470E07">
              <w:rPr>
                <w:b w:val="0"/>
                <w:sz w:val="22"/>
                <w:szCs w:val="22"/>
              </w:rPr>
              <w:t>La non esecuzione dell’indagine può po</w:t>
            </w:r>
            <w:r w:rsidR="00470E07">
              <w:rPr>
                <w:b w:val="0"/>
                <w:sz w:val="22"/>
                <w:szCs w:val="22"/>
              </w:rPr>
              <w:t>rtare ad una ritardata diagnosi</w:t>
            </w:r>
            <w:r w:rsidRPr="00470E07">
              <w:rPr>
                <w:b w:val="0"/>
                <w:sz w:val="22"/>
                <w:szCs w:val="22"/>
              </w:rPr>
              <w:t xml:space="preserve"> per le mancate informazioni funzionali.</w:t>
            </w:r>
          </w:p>
        </w:tc>
      </w:tr>
      <w:tr w:rsidR="00EF196B" w:rsidRPr="00470E07" w:rsidTr="00470E07">
        <w:trPr>
          <w:trHeight w:val="2438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</w:tcPr>
          <w:p w:rsidR="00EF196B" w:rsidRPr="00470E07" w:rsidRDefault="000B5E4E" w:rsidP="00470E07">
            <w:pPr>
              <w:pStyle w:val="Stile2"/>
              <w:spacing w:before="60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le complicanze/effetti indesiderati e avversi?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>
            <w:pPr>
              <w:pStyle w:val="Stile2"/>
              <w:snapToGrid w:val="0"/>
              <w:spacing w:before="60"/>
              <w:rPr>
                <w:b w:val="0"/>
                <w:color w:val="000000"/>
                <w:sz w:val="22"/>
                <w:szCs w:val="22"/>
              </w:rPr>
            </w:pPr>
            <w:r w:rsidRPr="00470E07">
              <w:rPr>
                <w:b w:val="0"/>
                <w:color w:val="000000"/>
                <w:sz w:val="22"/>
                <w:szCs w:val="22"/>
              </w:rPr>
              <w:t xml:space="preserve">Occasionalmente (in circa 1-10 casi su 1000 esami) si possono avere reazioni di ipersensibilità come </w:t>
            </w:r>
            <w:proofErr w:type="spellStart"/>
            <w:r w:rsidRPr="00470E07">
              <w:rPr>
                <w:b w:val="0"/>
                <w:color w:val="000000"/>
                <w:sz w:val="22"/>
                <w:szCs w:val="22"/>
              </w:rPr>
              <w:t>rash</w:t>
            </w:r>
            <w:proofErr w:type="spellEnd"/>
            <w:r w:rsidRPr="00470E07">
              <w:rPr>
                <w:b w:val="0"/>
                <w:color w:val="000000"/>
                <w:sz w:val="22"/>
                <w:szCs w:val="22"/>
              </w:rPr>
              <w:t xml:space="preserve"> cutaneo localizzato o generalizzato, vampate di calore, prurito, nausea o difficoltà respiratorie. </w:t>
            </w:r>
          </w:p>
          <w:p w:rsidR="00EF196B" w:rsidRPr="00470E07" w:rsidRDefault="000B5E4E">
            <w:pPr>
              <w:pStyle w:val="Stile2"/>
              <w:snapToGrid w:val="0"/>
              <w:spacing w:before="60"/>
              <w:rPr>
                <w:sz w:val="22"/>
                <w:szCs w:val="22"/>
              </w:rPr>
            </w:pPr>
            <w:r w:rsidRPr="00470E07">
              <w:rPr>
                <w:b w:val="0"/>
                <w:sz w:val="22"/>
                <w:szCs w:val="22"/>
              </w:rPr>
              <w:t xml:space="preserve">L’indagine deve essere preferibilmente evitata nelle donne in gravidanza; occorre segnalare anche solo un eventuale ritardo del ciclo mestruale al Medico Nucleare prima dell’esame. </w:t>
            </w:r>
            <w:r w:rsidRPr="00470E07">
              <w:rPr>
                <w:b w:val="0"/>
                <w:bCs/>
                <w:sz w:val="22"/>
                <w:szCs w:val="22"/>
              </w:rPr>
              <w:t>Per quanto concerne l’allattamento al seno, se l’indagine non è rinviabile,</w:t>
            </w:r>
            <w:r w:rsidR="00470E07" w:rsidRPr="00470E07">
              <w:rPr>
                <w:b w:val="0"/>
                <w:bCs/>
                <w:sz w:val="22"/>
                <w:szCs w:val="22"/>
              </w:rPr>
              <w:t xml:space="preserve"> deve essere sospeso per alcuni</w:t>
            </w:r>
            <w:r w:rsidRPr="00470E07">
              <w:rPr>
                <w:b w:val="0"/>
                <w:bCs/>
                <w:sz w:val="22"/>
                <w:szCs w:val="22"/>
              </w:rPr>
              <w:t xml:space="preserve"> giorni .</w:t>
            </w:r>
          </w:p>
        </w:tc>
      </w:tr>
      <w:tr w:rsidR="00EF196B" w:rsidRPr="00470E07" w:rsidTr="00470E07">
        <w:trPr>
          <w:trHeight w:val="907"/>
          <w:jc w:val="center"/>
        </w:trPr>
        <w:tc>
          <w:tcPr>
            <w:tcW w:w="439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:rsidR="00EF196B" w:rsidRPr="00470E07" w:rsidRDefault="000B5E4E">
            <w:pPr>
              <w:pStyle w:val="Stile2"/>
              <w:jc w:val="left"/>
              <w:rPr>
                <w:sz w:val="22"/>
                <w:szCs w:val="22"/>
              </w:rPr>
            </w:pPr>
            <w:r w:rsidRPr="00470E07">
              <w:rPr>
                <w:sz w:val="22"/>
                <w:szCs w:val="22"/>
              </w:rPr>
              <w:t>Quali sono le alternative alla procedura proposta se ci sono e quali benefici e/o le complicanze / effetti indesiderati conosciuti?</w:t>
            </w:r>
          </w:p>
        </w:tc>
        <w:tc>
          <w:tcPr>
            <w:tcW w:w="583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auto"/>
          </w:tcPr>
          <w:p w:rsidR="00EF196B" w:rsidRPr="00470E07" w:rsidRDefault="000B5E4E">
            <w:pPr>
              <w:pStyle w:val="Testocommento1"/>
              <w:snapToGrid w:val="0"/>
              <w:spacing w:before="60" w:after="60"/>
              <w:rPr>
                <w:sz w:val="22"/>
                <w:szCs w:val="22"/>
              </w:rPr>
            </w:pPr>
            <w:r w:rsidRPr="00470E07">
              <w:rPr>
                <w:bCs/>
                <w:sz w:val="22"/>
                <w:szCs w:val="22"/>
              </w:rPr>
              <w:t>L’indagine non sostituisce altri es</w:t>
            </w:r>
            <w:r w:rsidR="00470E07" w:rsidRPr="00470E07">
              <w:rPr>
                <w:bCs/>
                <w:sz w:val="22"/>
                <w:szCs w:val="22"/>
              </w:rPr>
              <w:t>ami strumentali quali TAC / RMN / RX</w:t>
            </w:r>
            <w:r w:rsidRPr="00470E07">
              <w:rPr>
                <w:bCs/>
                <w:sz w:val="22"/>
                <w:szCs w:val="22"/>
              </w:rPr>
              <w:t>, bensì si affianca alle indagini morfologiche fornendo informazioni di tipo funzionale.</w:t>
            </w:r>
          </w:p>
        </w:tc>
      </w:tr>
    </w:tbl>
    <w:p w:rsidR="00EF196B" w:rsidRDefault="00EF196B"/>
    <w:p w:rsidR="00BD019E" w:rsidRDefault="00BD019E"/>
    <w:p w:rsidR="00BD019E" w:rsidRDefault="00BD019E"/>
    <w:p w:rsidR="00EF196B" w:rsidRDefault="000B5E4E">
      <w:pPr>
        <w:tabs>
          <w:tab w:val="left" w:pos="3612"/>
        </w:tabs>
        <w:spacing w:line="360" w:lineRule="auto"/>
      </w:pPr>
      <w:r>
        <w:rPr>
          <w:bCs/>
          <w:sz w:val="22"/>
          <w:szCs w:val="22"/>
        </w:rPr>
        <w:t>Io SOTTOSCRITTO Sig./ra…………………………………………………………………..…………………………</w:t>
      </w:r>
    </w:p>
    <w:p w:rsidR="00EF196B" w:rsidRDefault="000B5E4E">
      <w:pPr>
        <w:tabs>
          <w:tab w:val="left" w:pos="3612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dichiaro di aver letto e compreso le informazioni che mi sono state fornite.</w:t>
      </w:r>
    </w:p>
    <w:p w:rsidR="00EF196B" w:rsidRDefault="00EF196B">
      <w:pPr>
        <w:rPr>
          <w:bCs/>
          <w:spacing w:val="-1"/>
          <w:sz w:val="18"/>
          <w:szCs w:val="18"/>
        </w:rPr>
      </w:pPr>
    </w:p>
    <w:p w:rsidR="00EF196B" w:rsidRDefault="000B5E4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Data |__|__| |__|__| |__|__|__|__|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Ora |__|__| |__|__| </w:t>
      </w:r>
    </w:p>
    <w:p w:rsidR="00EF196B" w:rsidRDefault="00EF196B">
      <w:pPr>
        <w:rPr>
          <w:bCs/>
          <w:spacing w:val="-1"/>
          <w:sz w:val="18"/>
          <w:szCs w:val="18"/>
        </w:rPr>
      </w:pPr>
    </w:p>
    <w:p w:rsidR="00EF196B" w:rsidRDefault="00EF196B">
      <w:pPr>
        <w:rPr>
          <w:bCs/>
          <w:spacing w:val="-1"/>
          <w:sz w:val="18"/>
          <w:szCs w:val="18"/>
        </w:rPr>
      </w:pPr>
    </w:p>
    <w:p w:rsidR="00EF196B" w:rsidRDefault="000B5E4E">
      <w:r>
        <w:rPr>
          <w:bCs/>
          <w:sz w:val="22"/>
          <w:szCs w:val="22"/>
        </w:rPr>
        <w:t>Firma (Paziente/Tutore legale/Genitore) ...............................................................................................................</w:t>
      </w:r>
    </w:p>
    <w:sectPr w:rsidR="00EF1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9" w:right="720" w:bottom="720" w:left="720" w:header="567" w:footer="50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1D" w:rsidRDefault="00F4351D">
      <w:r>
        <w:separator/>
      </w:r>
    </w:p>
  </w:endnote>
  <w:endnote w:type="continuationSeparator" w:id="0">
    <w:p w:rsidR="00F4351D" w:rsidRDefault="00F4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E" w:rsidRDefault="00D039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2"/>
      <w:gridCol w:w="1700"/>
      <w:gridCol w:w="1176"/>
    </w:tblGrid>
    <w:tr w:rsidR="00EF196B">
      <w:trPr>
        <w:jc w:val="center"/>
      </w:trPr>
      <w:tc>
        <w:tcPr>
          <w:tcW w:w="1560" w:type="dxa"/>
          <w:shd w:val="clear" w:color="auto" w:fill="auto"/>
          <w:vAlign w:val="center"/>
        </w:tcPr>
        <w:p w:rsidR="00EF196B" w:rsidRDefault="000B5E4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ASST Valle Olona</w:t>
          </w:r>
        </w:p>
      </w:tc>
      <w:tc>
        <w:tcPr>
          <w:tcW w:w="6161" w:type="dxa"/>
          <w:shd w:val="clear" w:color="auto" w:fill="auto"/>
          <w:vAlign w:val="center"/>
        </w:tcPr>
        <w:p w:rsidR="00EF196B" w:rsidRDefault="00D0396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0752_P15_MD</w:t>
          </w:r>
          <w:r w:rsidR="00BD019E" w:rsidRPr="00BD019E">
            <w:rPr>
              <w:sz w:val="16"/>
              <w:szCs w:val="16"/>
            </w:rPr>
            <w:t>NUC17</w:t>
          </w:r>
        </w:p>
      </w:tc>
      <w:tc>
        <w:tcPr>
          <w:tcW w:w="1700" w:type="dxa"/>
          <w:shd w:val="clear" w:color="auto" w:fill="auto"/>
          <w:vAlign w:val="center"/>
        </w:tcPr>
        <w:p w:rsidR="00EF196B" w:rsidRDefault="000B5E4E" w:rsidP="00BD019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Rev00 del </w:t>
          </w:r>
          <w:r>
            <w:rPr>
              <w:sz w:val="16"/>
              <w:szCs w:val="16"/>
            </w:rPr>
            <w:t>0</w:t>
          </w:r>
          <w:r w:rsidR="00BD019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</w:t>
          </w:r>
          <w:r w:rsidR="00D0396E">
            <w:rPr>
              <w:sz w:val="16"/>
              <w:szCs w:val="16"/>
            </w:rPr>
            <w:t>0</w:t>
          </w:r>
          <w:bookmarkStart w:id="1" w:name="_GoBack"/>
          <w:bookmarkEnd w:id="1"/>
          <w:r w:rsidR="00BD019E">
            <w:rPr>
              <w:sz w:val="16"/>
              <w:szCs w:val="16"/>
            </w:rPr>
            <w:t>3/2</w:t>
          </w:r>
          <w:r w:rsidR="00470E07">
            <w:rPr>
              <w:sz w:val="16"/>
              <w:szCs w:val="16"/>
            </w:rPr>
            <w:t>02</w:t>
          </w:r>
          <w:r w:rsidR="00BD019E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  <w:vAlign w:val="center"/>
        </w:tcPr>
        <w:p w:rsidR="00EF196B" w:rsidRDefault="000B5E4E">
          <w:pPr>
            <w:jc w:val="center"/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D0396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D0396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EF196B" w:rsidRDefault="00EF196B">
    <w:pPr>
      <w:pStyle w:val="Pidipagina"/>
      <w:rPr>
        <w:sz w:val="16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E" w:rsidRDefault="00D039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1D" w:rsidRDefault="00F4351D">
      <w:r>
        <w:separator/>
      </w:r>
    </w:p>
  </w:footnote>
  <w:footnote w:type="continuationSeparator" w:id="0">
    <w:p w:rsidR="00F4351D" w:rsidRDefault="00F4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E" w:rsidRDefault="00D039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6B" w:rsidRPr="00470E07" w:rsidRDefault="000B5E4E">
    <w:pPr>
      <w:pStyle w:val="Intestazione"/>
      <w:jc w:val="center"/>
      <w:rPr>
        <w:bCs/>
        <w:sz w:val="16"/>
        <w:szCs w:val="16"/>
      </w:rPr>
    </w:pPr>
    <w:r>
      <w:rPr>
        <w:bCs/>
        <w:sz w:val="16"/>
        <w:szCs w:val="16"/>
      </w:rPr>
      <w:t>Attività 752 – 1) Informativa  2) Acquisizione del consenso informato all'erogazione della prestazione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E" w:rsidRDefault="00D039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A1950"/>
    <w:multiLevelType w:val="multilevel"/>
    <w:tmpl w:val="7D465388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196B"/>
    <w:rsid w:val="000B5E4E"/>
    <w:rsid w:val="001F5B53"/>
    <w:rsid w:val="00470E07"/>
    <w:rsid w:val="00BD019E"/>
    <w:rsid w:val="00D0396E"/>
    <w:rsid w:val="00EE30C5"/>
    <w:rsid w:val="00EF196B"/>
    <w:rsid w:val="00F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color w:val="000080"/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left"/>
      <w:outlineLvl w:val="8"/>
    </w:pPr>
    <w:rPr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Tahoma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Arial" w:eastAsia="Times New Roman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Monotype Sorts;Symbol" w:hAnsi="Monotype Sorts;Symbol" w:cs="Monotype Sorts;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eastAsia="Times New Roman" w:hAnsi="Symbol" w:cs="Calibri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Monotype Sorts;Symbol" w:hAnsi="Monotype Sorts;Symbol" w:cs="Monotype Sorts;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eastAsia="Times New Roman" w:hAnsi="Symbol" w:cs="Calibri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Numerodipagina">
    <w:name w:val="Numero di pagina"/>
    <w:basedOn w:val="Carpredefinitoparagrafo1"/>
  </w:style>
  <w:style w:type="character" w:customStyle="1" w:styleId="IntestazioneCarattere">
    <w:name w:val="Intestazione Caratter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left"/>
    </w:pPr>
    <w:rPr>
      <w:color w:val="00008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Stile1">
    <w:name w:val="Stile1"/>
    <w:basedOn w:val="Normale"/>
    <w:qFormat/>
    <w:rPr>
      <w:b/>
      <w:smallCaps/>
      <w:sz w:val="28"/>
    </w:rPr>
  </w:style>
  <w:style w:type="paragraph" w:customStyle="1" w:styleId="Stile2">
    <w:name w:val="Stile2"/>
    <w:basedOn w:val="Normale"/>
    <w:qFormat/>
    <w:rPr>
      <w:b/>
      <w:sz w:val="28"/>
    </w:rPr>
  </w:style>
  <w:style w:type="paragraph" w:customStyle="1" w:styleId="Stile3">
    <w:name w:val="Stile3"/>
    <w:basedOn w:val="Normale"/>
    <w:qFormat/>
    <w:rPr>
      <w:sz w:val="24"/>
    </w:rPr>
  </w:style>
  <w:style w:type="paragraph" w:customStyle="1" w:styleId="Stile4">
    <w:name w:val="Stile4"/>
    <w:basedOn w:val="Normale"/>
    <w:qFormat/>
    <w:rPr>
      <w:i/>
      <w:sz w:val="24"/>
    </w:rPr>
  </w:style>
  <w:style w:type="paragraph" w:customStyle="1" w:styleId="Normale1">
    <w:name w:val="Normale1"/>
    <w:basedOn w:val="Normale"/>
    <w:qFormat/>
  </w:style>
  <w:style w:type="paragraph" w:customStyle="1" w:styleId="Titolo5">
    <w:name w:val="Titolo5"/>
    <w:basedOn w:val="Normale"/>
    <w:qFormat/>
    <w:rPr>
      <w:rFonts w:ascii="Arial Narrow" w:hAnsi="Arial Narrow" w:cs="Arial Narrow"/>
      <w:b/>
      <w:sz w:val="24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rPr>
      <w:sz w:val="26"/>
    </w:rPr>
  </w:style>
  <w:style w:type="paragraph" w:customStyle="1" w:styleId="Corpodeltesto21">
    <w:name w:val="Corpo del testo 21"/>
    <w:basedOn w:val="Normale"/>
    <w:qFormat/>
    <w:rPr>
      <w:sz w:val="18"/>
    </w:rPr>
  </w:style>
  <w:style w:type="paragraph" w:styleId="Rientrocorpodeltesto">
    <w:name w:val="Body Text Indent"/>
    <w:basedOn w:val="Normale"/>
    <w:rPr>
      <w:rFonts w:ascii="Arial" w:hAnsi="Arial" w:cs="Arial"/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after="100"/>
      <w:jc w:val="left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commento1">
    <w:name w:val="Testo commento1"/>
    <w:basedOn w:val="Normale"/>
    <w:qFormat/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RP_AIMN_pentetreotide.docx</vt:lpstr>
    </vt:vector>
  </TitlesOfParts>
  <Company>AoBusto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RP_AIMN_pentetreotide.docx</dc:title>
  <dc:subject/>
  <dc:creator>FB</dc:creator>
  <dc:description/>
  <cp:lastModifiedBy>Patrizia Bottura</cp:lastModifiedBy>
  <cp:revision>19</cp:revision>
  <cp:lastPrinted>2023-03-09T10:58:00Z</cp:lastPrinted>
  <dcterms:created xsi:type="dcterms:W3CDTF">2017-02-23T12:19:00Z</dcterms:created>
  <dcterms:modified xsi:type="dcterms:W3CDTF">2023-03-22T08:29:00Z</dcterms:modified>
  <dc:language>it-IT</dc:language>
</cp:coreProperties>
</file>