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D95686" w:rsidP="00E52D17">
            <w:pPr>
              <w:ind w:left="900"/>
              <w:jc w:val="center"/>
              <w:rPr>
                <w:rFonts w:ascii="Arial" w:hAnsi="Arial" w:cs="Arial"/>
              </w:rPr>
            </w:pPr>
            <w:bookmarkStart w:id="0" w:name="_GoBack"/>
            <w:bookmarkEnd w:id="0"/>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93434008"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6842A1" w:rsidRDefault="006842A1" w:rsidP="006842A1">
      <w:pPr>
        <w:tabs>
          <w:tab w:val="left" w:pos="284"/>
          <w:tab w:val="left" w:pos="567"/>
          <w:tab w:val="left" w:pos="2160"/>
          <w:tab w:val="left" w:pos="3402"/>
          <w:tab w:val="left" w:pos="4500"/>
        </w:tabs>
        <w:spacing w:line="240" w:lineRule="atLeast"/>
        <w:ind w:right="7371"/>
        <w:jc w:val="both"/>
        <w:rPr>
          <w:u w:val="single"/>
        </w:rPr>
      </w:pPr>
      <w:r>
        <w:rPr>
          <w:sz w:val="18"/>
          <w:szCs w:val="18"/>
        </w:rPr>
        <w:t xml:space="preserve">L’Istituto Poligrafico ha dichiarato di averlo pubblicato sulla G.U. </w:t>
      </w:r>
      <w:r>
        <w:rPr>
          <w:sz w:val="18"/>
          <w:szCs w:val="18"/>
        </w:rPr>
        <w:t>4° Serie Speciale n. 91</w:t>
      </w:r>
      <w:r>
        <w:rPr>
          <w:sz w:val="18"/>
          <w:szCs w:val="18"/>
        </w:rPr>
        <w:t xml:space="preserve"> del </w:t>
      </w:r>
      <w:r>
        <w:rPr>
          <w:sz w:val="18"/>
          <w:szCs w:val="18"/>
        </w:rPr>
        <w:t>15.11.2024</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171</w:t>
      </w:r>
    </w:p>
    <w:p w:rsidR="006842A1" w:rsidRDefault="006842A1" w:rsidP="006842A1">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407F3F">
        <w:t>60627/18.11.2024</w:t>
      </w:r>
    </w:p>
    <w:p w:rsidR="006842A1" w:rsidRDefault="006842A1" w:rsidP="006842A1">
      <w:pPr>
        <w:pStyle w:val="Corpodeltesto2"/>
        <w:tabs>
          <w:tab w:val="left" w:pos="6521"/>
        </w:tabs>
        <w:spacing w:line="240" w:lineRule="atLeast"/>
        <w:ind w:left="284"/>
        <w:jc w:val="both"/>
        <w:rPr>
          <w:rFonts w:ascii="Times New Roman" w:hAnsi="Times New Roman"/>
        </w:rPr>
      </w:pPr>
    </w:p>
    <w:p w:rsidR="006842A1" w:rsidRDefault="006842A1" w:rsidP="006842A1">
      <w:pPr>
        <w:pStyle w:val="Titolo"/>
        <w:ind w:right="0"/>
        <w:rPr>
          <w:rFonts w:ascii="Times New Roman" w:hAnsi="Times New Roman"/>
          <w:i/>
          <w:sz w:val="36"/>
          <w:szCs w:val="36"/>
          <w:u w:val="single"/>
        </w:rPr>
      </w:pPr>
      <w:r>
        <w:rPr>
          <w:rFonts w:ascii="Times New Roman" w:hAnsi="Times New Roman"/>
          <w:sz w:val="36"/>
          <w:szCs w:val="36"/>
          <w:u w:val="single"/>
        </w:rPr>
        <w:t xml:space="preserve">SCADENZA </w:t>
      </w:r>
      <w:r>
        <w:rPr>
          <w:rFonts w:ascii="Times New Roman" w:hAnsi="Times New Roman"/>
          <w:sz w:val="36"/>
          <w:szCs w:val="36"/>
          <w:u w:val="single"/>
        </w:rPr>
        <w:t>15</w:t>
      </w:r>
      <w:r>
        <w:rPr>
          <w:rFonts w:ascii="Times New Roman" w:hAnsi="Times New Roman"/>
          <w:sz w:val="36"/>
          <w:szCs w:val="36"/>
          <w:u w:val="single"/>
        </w:rPr>
        <w:t xml:space="preserve"> </w:t>
      </w:r>
      <w:r>
        <w:rPr>
          <w:rFonts w:ascii="Times New Roman" w:hAnsi="Times New Roman"/>
          <w:sz w:val="36"/>
          <w:szCs w:val="36"/>
          <w:u w:val="single"/>
        </w:rPr>
        <w:t>DIC</w:t>
      </w:r>
      <w:r>
        <w:rPr>
          <w:rFonts w:ascii="Times New Roman" w:hAnsi="Times New Roman"/>
          <w:sz w:val="36"/>
          <w:szCs w:val="36"/>
          <w:u w:val="single"/>
        </w:rPr>
        <w:t>EMBRE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E66794">
        <w:rPr>
          <w:rFonts w:ascii="Arial" w:hAnsi="Arial" w:cs="Arial"/>
          <w:sz w:val="22"/>
          <w:szCs w:val="22"/>
        </w:rPr>
        <w:t>1096</w:t>
      </w:r>
      <w:r w:rsidR="00EC0A52">
        <w:rPr>
          <w:rFonts w:ascii="Arial" w:hAnsi="Arial" w:cs="Arial"/>
          <w:sz w:val="22"/>
          <w:szCs w:val="22"/>
        </w:rPr>
        <w:t xml:space="preserve"> </w:t>
      </w:r>
      <w:r w:rsidRPr="002224FB">
        <w:rPr>
          <w:rFonts w:ascii="Arial" w:hAnsi="Arial" w:cs="Arial"/>
          <w:sz w:val="22"/>
          <w:szCs w:val="22"/>
        </w:rPr>
        <w:t xml:space="preserve">del </w:t>
      </w:r>
      <w:r w:rsidR="00E66794">
        <w:rPr>
          <w:rFonts w:ascii="Arial" w:hAnsi="Arial" w:cs="Arial"/>
          <w:sz w:val="22"/>
          <w:szCs w:val="22"/>
        </w:rPr>
        <w:t>18.10.2024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1C188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1C1880">
        <w:rPr>
          <w:rFonts w:ascii="Arial" w:hAnsi="Arial" w:cs="Arial"/>
          <w:sz w:val="22"/>
          <w:szCs w:val="22"/>
        </w:rPr>
        <w:t>i</w:t>
      </w:r>
      <w:r w:rsidR="00F23EAD">
        <w:rPr>
          <w:rFonts w:ascii="Arial" w:hAnsi="Arial" w:cs="Arial"/>
          <w:sz w:val="22"/>
          <w:szCs w:val="22"/>
        </w:rPr>
        <w:t xml:space="preserve"> post</w:t>
      </w:r>
      <w:r w:rsidR="001C188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1F3614">
        <w:rPr>
          <w:rFonts w:ascii="Arial" w:hAnsi="Arial" w:cs="Arial"/>
          <w:b/>
          <w:sz w:val="24"/>
          <w:szCs w:val="24"/>
        </w:rPr>
        <w:t>11</w:t>
      </w:r>
      <w:r w:rsidR="00F23EAD">
        <w:rPr>
          <w:rFonts w:ascii="Arial" w:hAnsi="Arial" w:cs="Arial"/>
          <w:b/>
          <w:sz w:val="24"/>
          <w:szCs w:val="24"/>
        </w:rPr>
        <w:t xml:space="preserve"> post</w:t>
      </w:r>
      <w:r w:rsidR="001C1880">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1F3614" w:rsidRPr="00F23EAD" w:rsidRDefault="001F3614" w:rsidP="001F3614">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DELLA MEDICINA DIAGNOSTICA E DEI SERVIZI</w:t>
      </w:r>
      <w:r w:rsidRPr="00F23EAD">
        <w:rPr>
          <w:rFonts w:ascii="Arial" w:hAnsi="Arial" w:cs="Arial"/>
          <w:b/>
          <w:sz w:val="24"/>
          <w:szCs w:val="24"/>
        </w:rPr>
        <w:t xml:space="preserve"> </w:t>
      </w:r>
    </w:p>
    <w:p w:rsidR="001F3614" w:rsidRPr="00F23EAD" w:rsidRDefault="001F3614" w:rsidP="001F3614">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ANESTESIA E RIANIMAZIONE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1F3614" w:rsidRPr="005E0548" w:rsidRDefault="00BA186A" w:rsidP="001F3614">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1F3614">
        <w:rPr>
          <w:rFonts w:ascii="Arial" w:hAnsi="Arial" w:cs="Arial"/>
          <w:b/>
          <w:sz w:val="22"/>
          <w:szCs w:val="22"/>
        </w:rPr>
        <w:t>Anestesia e Rianimazione</w:t>
      </w:r>
      <w:r w:rsidR="001F3614">
        <w:t xml:space="preserve">. </w:t>
      </w:r>
      <w:r w:rsidR="001F3614"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Il personale già in servizio di ruolo presso altra Azienda Sanitaria nella posizione funzionale e disciplina a concorso alla data di entrata in vigore del D.P.R. 10 dicembre 1997, n. 483 è esentato dal requisito della specializzazione nella disciplina</w:t>
      </w:r>
      <w:r w:rsidR="001F3614">
        <w:t xml:space="preserve">;  </w:t>
      </w:r>
    </w:p>
    <w:p w:rsidR="001F3614" w:rsidRPr="00A22205" w:rsidRDefault="001F3614" w:rsidP="001F3614">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Anestesia e Rianimazione o equipollente. </w:t>
      </w:r>
      <w:r w:rsidRPr="00691A71">
        <w:rPr>
          <w:rFonts w:ascii="Arial" w:hAnsi="Arial" w:cs="Arial"/>
          <w:sz w:val="22"/>
          <w:szCs w:val="22"/>
        </w:rPr>
        <w:t xml:space="preserve"> </w:t>
      </w:r>
      <w:r>
        <w:rPr>
          <w:rFonts w:ascii="Arial" w:hAnsi="Arial" w:cs="Arial"/>
          <w:sz w:val="22"/>
          <w:szCs w:val="22"/>
        </w:rPr>
        <w:t xml:space="preserve">Ai sensi di quanto previsto dal testo vigente dell’art. 1 comma 547 e segg. della Legge 30 dicembre 2018 n. 145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1F3614">
      <w:pPr>
        <w:pStyle w:val="Paragrafoelenco"/>
        <w:ind w:left="426"/>
        <w:jc w:val="both"/>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lastRenderedPageBreak/>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1F3614">
        <w:rPr>
          <w:rFonts w:ascii="Arial" w:hAnsi="Arial" w:cs="Arial"/>
          <w:sz w:val="22"/>
          <w:szCs w:val="22"/>
        </w:rPr>
        <w:t>11</w:t>
      </w:r>
      <w:r w:rsidR="00A22205">
        <w:rPr>
          <w:rFonts w:ascii="Arial" w:hAnsi="Arial" w:cs="Arial"/>
          <w:sz w:val="22"/>
          <w:szCs w:val="22"/>
        </w:rPr>
        <w:t xml:space="preserve"> </w:t>
      </w:r>
      <w:r w:rsidR="00F21C12">
        <w:rPr>
          <w:rFonts w:ascii="Arial" w:hAnsi="Arial" w:cs="Arial"/>
          <w:sz w:val="22"/>
          <w:szCs w:val="22"/>
        </w:rPr>
        <w:t>post</w:t>
      </w:r>
      <w:r w:rsidR="001C188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1F3614">
        <w:rPr>
          <w:rFonts w:ascii="Arial" w:hAnsi="Arial" w:cs="Arial"/>
          <w:sz w:val="22"/>
          <w:szCs w:val="22"/>
        </w:rPr>
        <w:t>Anestesia e Rianimazione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1F3614">
        <w:rPr>
          <w:rFonts w:ascii="Arial" w:hAnsi="Arial" w:cs="Arial"/>
          <w:sz w:val="22"/>
          <w:szCs w:val="22"/>
        </w:rPr>
        <w:t>11 posti di Dirigente Medico della disciplina di Anestesia e Rianimazione</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1F3614" w:rsidRDefault="001F3614" w:rsidP="001F3614">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1F3614" w:rsidRPr="00F21C12" w:rsidRDefault="001F3614" w:rsidP="001F3614">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1F3614" w:rsidRPr="004A7C30" w:rsidRDefault="001F3614" w:rsidP="001F3614">
      <w:pPr>
        <w:ind w:left="567"/>
        <w:jc w:val="both"/>
        <w:rPr>
          <w:rFonts w:ascii="Arial" w:hAnsi="Arial" w:cs="Arial"/>
          <w:sz w:val="22"/>
        </w:rPr>
      </w:pPr>
    </w:p>
    <w:p w:rsidR="001F3614" w:rsidRDefault="001F3614" w:rsidP="001F3614">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1F3614" w:rsidRPr="00F21C12" w:rsidRDefault="001F3614" w:rsidP="001F3614">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1F3614" w:rsidRDefault="001F3614" w:rsidP="001F3614">
      <w:pPr>
        <w:widowControl w:val="0"/>
        <w:jc w:val="both"/>
        <w:rPr>
          <w:rFonts w:ascii="Arial" w:hAnsi="Arial" w:cs="Arial"/>
          <w:sz w:val="22"/>
          <w:u w:val="single"/>
        </w:rPr>
      </w:pPr>
    </w:p>
    <w:p w:rsidR="001F3614" w:rsidRPr="001B5D94" w:rsidRDefault="001F3614" w:rsidP="001F3614">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1F3614" w:rsidRDefault="001F3614" w:rsidP="001F3614">
      <w:pPr>
        <w:widowControl w:val="0"/>
        <w:ind w:left="567"/>
        <w:jc w:val="both"/>
        <w:rPr>
          <w:rFonts w:ascii="Arial" w:hAnsi="Arial" w:cs="Arial"/>
          <w:sz w:val="22"/>
        </w:rPr>
      </w:pPr>
      <w:r w:rsidRPr="001B5D94">
        <w:rPr>
          <w:rFonts w:ascii="Arial" w:hAnsi="Arial" w:cs="Arial"/>
          <w:sz w:val="22"/>
        </w:rPr>
        <w:lastRenderedPageBreak/>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 xml:space="preserve">È fatta salva </w:t>
      </w:r>
      <w:r>
        <w:rPr>
          <w:rFonts w:ascii="Arial" w:hAnsi="Arial" w:cs="Arial"/>
          <w:sz w:val="22"/>
        </w:rPr>
        <w:lastRenderedPageBreak/>
        <w:t>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DC2DE1" w:rsidRPr="004A1F96" w:rsidRDefault="00DC2DE1" w:rsidP="00DC2DE1">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2024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DC2DE1" w:rsidRPr="004A1F96" w:rsidRDefault="00DC2DE1" w:rsidP="00DC2DE1">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w:t>
      </w:r>
      <w:r w:rsidRPr="00DD782E">
        <w:rPr>
          <w:rFonts w:ascii="Arial" w:hAnsi="Arial" w:cs="Arial"/>
          <w:sz w:val="22"/>
          <w:szCs w:val="22"/>
        </w:rPr>
        <w:lastRenderedPageBreak/>
        <w:t xml:space="preserve">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w:t>
      </w:r>
      <w:proofErr w:type="spellStart"/>
      <w:r w:rsidRPr="00624324">
        <w:rPr>
          <w:rFonts w:ascii="Arial" w:hAnsi="Arial" w:cs="Arial"/>
          <w:sz w:val="22"/>
          <w:szCs w:val="22"/>
        </w:rPr>
        <w:t>ed</w:t>
      </w:r>
      <w:proofErr w:type="spellEnd"/>
      <w:r w:rsidRPr="00624324">
        <w:rPr>
          <w:rFonts w:ascii="Arial" w:hAnsi="Arial" w:cs="Arial"/>
          <w:sz w:val="22"/>
          <w:szCs w:val="22"/>
        </w:rPr>
        <w:t xml:space="preserve">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6842A1">
        <w:rPr>
          <w:rFonts w:ascii="Arial" w:hAnsi="Arial" w:cs="Arial"/>
          <w:sz w:val="22"/>
          <w:szCs w:val="22"/>
        </w:rPr>
        <w:t xml:space="preserve">18 novembre </w:t>
      </w:r>
      <w:r w:rsidR="00E66794">
        <w:rPr>
          <w:rFonts w:ascii="Arial" w:hAnsi="Arial" w:cs="Arial"/>
          <w:sz w:val="22"/>
          <w:szCs w:val="22"/>
        </w:rPr>
        <w:t>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F4" w:rsidRDefault="00E570F4">
      <w:r>
        <w:separator/>
      </w:r>
    </w:p>
  </w:endnote>
  <w:endnote w:type="continuationSeparator" w:id="0">
    <w:p w:rsidR="00E570F4" w:rsidRDefault="00E5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F4" w:rsidRDefault="00E570F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570F4" w:rsidRDefault="00E570F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F4" w:rsidRPr="00240821" w:rsidRDefault="00E570F4"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D95686">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D95686">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F4" w:rsidRDefault="00E570F4">
      <w:r>
        <w:separator/>
      </w:r>
    </w:p>
  </w:footnote>
  <w:footnote w:type="continuationSeparator" w:id="0">
    <w:p w:rsidR="00E570F4" w:rsidRDefault="00E57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C1880"/>
    <w:rsid w:val="001D5460"/>
    <w:rsid w:val="001D5D65"/>
    <w:rsid w:val="001E0D8F"/>
    <w:rsid w:val="001E2645"/>
    <w:rsid w:val="001E700C"/>
    <w:rsid w:val="001F123B"/>
    <w:rsid w:val="001F2B6D"/>
    <w:rsid w:val="001F3614"/>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07F3F"/>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3DB1"/>
    <w:rsid w:val="004A4224"/>
    <w:rsid w:val="004A7C30"/>
    <w:rsid w:val="004B171D"/>
    <w:rsid w:val="004C068B"/>
    <w:rsid w:val="004D06BB"/>
    <w:rsid w:val="004D3153"/>
    <w:rsid w:val="004D4D8D"/>
    <w:rsid w:val="004E5B64"/>
    <w:rsid w:val="004E5BFA"/>
    <w:rsid w:val="004F66E3"/>
    <w:rsid w:val="004F6DF9"/>
    <w:rsid w:val="004F70DB"/>
    <w:rsid w:val="00505B62"/>
    <w:rsid w:val="005140B3"/>
    <w:rsid w:val="00525BC0"/>
    <w:rsid w:val="00526212"/>
    <w:rsid w:val="0053586E"/>
    <w:rsid w:val="005409E6"/>
    <w:rsid w:val="00541D03"/>
    <w:rsid w:val="00542846"/>
    <w:rsid w:val="00550CE8"/>
    <w:rsid w:val="00553050"/>
    <w:rsid w:val="00553C52"/>
    <w:rsid w:val="00562D66"/>
    <w:rsid w:val="00565410"/>
    <w:rsid w:val="00566BE1"/>
    <w:rsid w:val="00572AB0"/>
    <w:rsid w:val="00573FCC"/>
    <w:rsid w:val="00580068"/>
    <w:rsid w:val="00590A86"/>
    <w:rsid w:val="00593208"/>
    <w:rsid w:val="005A2D01"/>
    <w:rsid w:val="005A5DC0"/>
    <w:rsid w:val="005A76C0"/>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2A1"/>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2E75"/>
    <w:rsid w:val="007E38C8"/>
    <w:rsid w:val="007E3B81"/>
    <w:rsid w:val="007E5465"/>
    <w:rsid w:val="007E638D"/>
    <w:rsid w:val="007E7D55"/>
    <w:rsid w:val="007E7E62"/>
    <w:rsid w:val="007F0B21"/>
    <w:rsid w:val="007F5A7F"/>
    <w:rsid w:val="008037A5"/>
    <w:rsid w:val="00806A00"/>
    <w:rsid w:val="00814414"/>
    <w:rsid w:val="00820CC2"/>
    <w:rsid w:val="0082378D"/>
    <w:rsid w:val="00841792"/>
    <w:rsid w:val="00852BAE"/>
    <w:rsid w:val="00867FBE"/>
    <w:rsid w:val="00876505"/>
    <w:rsid w:val="00877304"/>
    <w:rsid w:val="00881D41"/>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01FD"/>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2C5"/>
    <w:rsid w:val="00A34777"/>
    <w:rsid w:val="00A35481"/>
    <w:rsid w:val="00A42D5F"/>
    <w:rsid w:val="00A44726"/>
    <w:rsid w:val="00A45FAA"/>
    <w:rsid w:val="00A615BB"/>
    <w:rsid w:val="00A705F0"/>
    <w:rsid w:val="00A7239D"/>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95686"/>
    <w:rsid w:val="00DA15F5"/>
    <w:rsid w:val="00DA6E08"/>
    <w:rsid w:val="00DB15DB"/>
    <w:rsid w:val="00DB6AD2"/>
    <w:rsid w:val="00DC2DE1"/>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17116"/>
    <w:rsid w:val="00E24B1B"/>
    <w:rsid w:val="00E257B3"/>
    <w:rsid w:val="00E2798B"/>
    <w:rsid w:val="00E32B13"/>
    <w:rsid w:val="00E348DF"/>
    <w:rsid w:val="00E34F5F"/>
    <w:rsid w:val="00E51863"/>
    <w:rsid w:val="00E52D17"/>
    <w:rsid w:val="00E53057"/>
    <w:rsid w:val="00E554D7"/>
    <w:rsid w:val="00E570F4"/>
    <w:rsid w:val="00E57B9B"/>
    <w:rsid w:val="00E66794"/>
    <w:rsid w:val="00E73916"/>
    <w:rsid w:val="00E80351"/>
    <w:rsid w:val="00E865C0"/>
    <w:rsid w:val="00E9047D"/>
    <w:rsid w:val="00EA0590"/>
    <w:rsid w:val="00EA5635"/>
    <w:rsid w:val="00EA7E24"/>
    <w:rsid w:val="00EC0A52"/>
    <w:rsid w:val="00EC4934"/>
    <w:rsid w:val="00ED4CE4"/>
    <w:rsid w:val="00ED7233"/>
    <w:rsid w:val="00EE02E8"/>
    <w:rsid w:val="00EE0505"/>
    <w:rsid w:val="00EE5E9C"/>
    <w:rsid w:val="00EE6D27"/>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712069AA-8244-4C46-9B42-3101FC50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61FD6-A604-4115-B797-B2EDE4B4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4678</Words>
  <Characters>28465</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33077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2024-11-18T10:20:00Z</cp:lastPrinted>
  <dcterms:created xsi:type="dcterms:W3CDTF">2024-11-18T09:33:00Z</dcterms:created>
  <dcterms:modified xsi:type="dcterms:W3CDTF">2024-11-18T10:20:00Z</dcterms:modified>
</cp:coreProperties>
</file>